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2"/>
        <w:jc w:val="center"/>
        <w:rPr>
          <w:b/>
        </w:rPr>
      </w:pPr>
    </w:p>
    <w:p>
      <w:pPr>
        <w:ind w:firstLine="482"/>
        <w:jc w:val="center"/>
        <w:rPr>
          <w:b/>
        </w:rPr>
      </w:pPr>
    </w:p>
    <w:p>
      <w:pPr>
        <w:pStyle w:val="2"/>
      </w:pPr>
      <w:r>
        <w:rPr>
          <w:rFonts w:hint="eastAsia"/>
          <w:highlight w:val="yellow"/>
        </w:rPr>
        <w:t>北京农产品质量安全学会</w:t>
      </w:r>
      <w:r>
        <w:rPr>
          <w:rFonts w:hint="eastAsia"/>
        </w:rPr>
        <w:t>团体标准</w:t>
      </w:r>
    </w:p>
    <w:p>
      <w:pPr>
        <w:ind w:firstLine="880"/>
        <w:jc w:val="center"/>
        <w:rPr>
          <w:sz w:val="44"/>
        </w:rPr>
      </w:pPr>
      <w:r>
        <w:rPr>
          <w:rFonts w:hint="eastAsia"/>
          <w:sz w:val="44"/>
        </w:rPr>
        <w:t>《</w:t>
      </w:r>
      <w:bookmarkStart w:id="0" w:name="OLE_LINK4"/>
      <w:r>
        <w:rPr>
          <w:rFonts w:hint="eastAsia"/>
          <w:sz w:val="44"/>
        </w:rPr>
        <w:t>设施</w:t>
      </w:r>
      <w:bookmarkEnd w:id="0"/>
      <w:r>
        <w:rPr>
          <w:rFonts w:hint="eastAsia"/>
          <w:sz w:val="44"/>
        </w:rPr>
        <w:t>西瓜标准综合体》（征求意见稿）</w:t>
      </w:r>
    </w:p>
    <w:p>
      <w:pPr>
        <w:ind w:firstLine="880"/>
        <w:jc w:val="center"/>
        <w:rPr>
          <w:sz w:val="44"/>
        </w:rPr>
      </w:pPr>
      <w:r>
        <w:rPr>
          <w:rFonts w:hint="eastAsia"/>
          <w:sz w:val="44"/>
        </w:rPr>
        <w:t>编制说明</w:t>
      </w:r>
    </w:p>
    <w:p>
      <w:pPr>
        <w:widowControl/>
        <w:adjustRightInd/>
        <w:snapToGrid/>
        <w:spacing w:line="240" w:lineRule="auto"/>
        <w:ind w:firstLine="0" w:firstLineChars="0"/>
        <w:jc w:val="left"/>
      </w:pPr>
    </w:p>
    <w:p>
      <w:pPr>
        <w:widowControl/>
        <w:adjustRightInd/>
        <w:snapToGrid/>
        <w:spacing w:line="240" w:lineRule="auto"/>
        <w:ind w:firstLine="0" w:firstLineChars="0"/>
        <w:jc w:val="left"/>
      </w:pPr>
    </w:p>
    <w:p>
      <w:pPr>
        <w:widowControl/>
        <w:adjustRightInd/>
        <w:snapToGrid/>
        <w:spacing w:line="240" w:lineRule="auto"/>
        <w:ind w:firstLine="0" w:firstLineChars="0"/>
        <w:jc w:val="left"/>
      </w:pPr>
    </w:p>
    <w:p>
      <w:pPr>
        <w:widowControl/>
        <w:adjustRightInd/>
        <w:snapToGrid/>
        <w:spacing w:line="240" w:lineRule="auto"/>
        <w:ind w:firstLine="0" w:firstLineChars="0"/>
        <w:jc w:val="left"/>
      </w:pPr>
    </w:p>
    <w:p>
      <w:pPr>
        <w:widowControl/>
        <w:adjustRightInd/>
        <w:snapToGrid/>
        <w:spacing w:line="240" w:lineRule="auto"/>
        <w:ind w:firstLine="0" w:firstLineChars="0"/>
        <w:jc w:val="left"/>
      </w:pPr>
    </w:p>
    <w:p>
      <w:pPr>
        <w:widowControl/>
        <w:adjustRightInd/>
        <w:snapToGrid/>
        <w:spacing w:line="240" w:lineRule="auto"/>
        <w:ind w:firstLine="0" w:firstLineChars="0"/>
        <w:jc w:val="left"/>
      </w:pPr>
    </w:p>
    <w:p>
      <w:pPr>
        <w:widowControl/>
        <w:adjustRightInd/>
        <w:snapToGrid/>
        <w:spacing w:line="240" w:lineRule="auto"/>
        <w:ind w:firstLine="0" w:firstLineChars="0"/>
        <w:jc w:val="left"/>
      </w:pPr>
    </w:p>
    <w:p>
      <w:pPr>
        <w:widowControl/>
        <w:adjustRightInd/>
        <w:snapToGrid/>
        <w:spacing w:line="240" w:lineRule="auto"/>
        <w:ind w:firstLine="0" w:firstLineChars="0"/>
        <w:jc w:val="left"/>
      </w:pPr>
    </w:p>
    <w:p>
      <w:pPr>
        <w:widowControl/>
        <w:adjustRightInd/>
        <w:snapToGrid/>
        <w:spacing w:line="240" w:lineRule="auto"/>
        <w:ind w:firstLine="0" w:firstLineChars="0"/>
        <w:jc w:val="left"/>
      </w:pPr>
    </w:p>
    <w:p>
      <w:pPr>
        <w:widowControl/>
        <w:adjustRightInd/>
        <w:snapToGrid/>
        <w:spacing w:line="240" w:lineRule="auto"/>
        <w:ind w:firstLine="0" w:firstLineChars="0"/>
        <w:jc w:val="left"/>
      </w:pPr>
    </w:p>
    <w:p>
      <w:pPr>
        <w:widowControl/>
        <w:adjustRightInd/>
        <w:snapToGrid/>
        <w:spacing w:line="240" w:lineRule="auto"/>
        <w:ind w:firstLine="0" w:firstLineChars="0"/>
        <w:jc w:val="left"/>
      </w:pPr>
    </w:p>
    <w:p>
      <w:pPr>
        <w:widowControl/>
        <w:adjustRightInd/>
        <w:snapToGrid/>
        <w:spacing w:line="240" w:lineRule="auto"/>
        <w:ind w:firstLine="0" w:firstLineChars="0"/>
        <w:jc w:val="left"/>
      </w:pPr>
    </w:p>
    <w:p>
      <w:pPr>
        <w:widowControl/>
        <w:adjustRightInd/>
        <w:snapToGrid/>
        <w:spacing w:line="240" w:lineRule="auto"/>
        <w:ind w:firstLine="0" w:firstLineChars="0"/>
        <w:jc w:val="left"/>
      </w:pPr>
    </w:p>
    <w:p>
      <w:pPr>
        <w:widowControl/>
        <w:adjustRightInd/>
        <w:snapToGrid/>
        <w:spacing w:line="240" w:lineRule="auto"/>
        <w:ind w:firstLine="0" w:firstLineChars="0"/>
        <w:jc w:val="left"/>
      </w:pPr>
    </w:p>
    <w:p>
      <w:pPr>
        <w:widowControl/>
        <w:adjustRightInd/>
        <w:snapToGrid/>
        <w:spacing w:line="240" w:lineRule="auto"/>
        <w:ind w:firstLine="0" w:firstLineChars="0"/>
        <w:jc w:val="left"/>
      </w:pPr>
    </w:p>
    <w:p>
      <w:pPr>
        <w:widowControl/>
        <w:adjustRightInd/>
        <w:snapToGrid/>
        <w:spacing w:line="240" w:lineRule="auto"/>
        <w:ind w:firstLine="0" w:firstLineChars="0"/>
        <w:jc w:val="left"/>
      </w:pPr>
    </w:p>
    <w:p>
      <w:pPr>
        <w:widowControl/>
        <w:adjustRightInd/>
        <w:snapToGrid/>
        <w:spacing w:line="240" w:lineRule="auto"/>
        <w:ind w:firstLine="0" w:firstLineChars="0"/>
        <w:jc w:val="left"/>
      </w:pPr>
    </w:p>
    <w:p>
      <w:pPr>
        <w:widowControl/>
        <w:adjustRightInd/>
        <w:snapToGrid/>
        <w:spacing w:line="240" w:lineRule="auto"/>
        <w:ind w:firstLine="0" w:firstLineChars="0"/>
        <w:jc w:val="left"/>
      </w:pPr>
    </w:p>
    <w:p>
      <w:pPr>
        <w:widowControl/>
        <w:adjustRightInd/>
        <w:snapToGrid/>
        <w:spacing w:line="240" w:lineRule="auto"/>
        <w:ind w:firstLine="0" w:firstLineChars="0"/>
        <w:jc w:val="left"/>
      </w:pPr>
    </w:p>
    <w:p>
      <w:pPr>
        <w:widowControl/>
        <w:adjustRightInd/>
        <w:snapToGrid/>
        <w:ind w:firstLine="0" w:firstLineChars="0"/>
        <w:jc w:val="left"/>
      </w:pPr>
    </w:p>
    <w:p>
      <w:pPr>
        <w:widowControl/>
        <w:adjustRightInd/>
        <w:snapToGrid/>
        <w:ind w:firstLine="0" w:firstLineChars="0"/>
        <w:jc w:val="left"/>
      </w:pPr>
    </w:p>
    <w:p>
      <w:pPr>
        <w:widowControl/>
        <w:adjustRightInd/>
        <w:snapToGrid/>
        <w:ind w:firstLine="0" w:firstLineChars="0"/>
        <w:jc w:val="center"/>
        <w:rPr>
          <w:rFonts w:hint="eastAsia" w:ascii="黑体" w:hAnsi="黑体" w:eastAsia="黑体"/>
          <w:sz w:val="32"/>
          <w:szCs w:val="32"/>
        </w:rPr>
      </w:pPr>
      <w:r>
        <w:rPr>
          <w:rFonts w:hint="eastAsia" w:ascii="黑体" w:hAnsi="黑体" w:eastAsia="黑体"/>
          <w:sz w:val="32"/>
          <w:szCs w:val="32"/>
        </w:rPr>
        <w:t>北京市农林科学院质量标准与检测技术研究所</w:t>
      </w:r>
    </w:p>
    <w:p>
      <w:pPr>
        <w:widowControl/>
        <w:adjustRightInd/>
        <w:snapToGrid/>
        <w:ind w:firstLine="0" w:firstLineChars="0"/>
        <w:jc w:val="center"/>
        <w:rPr>
          <w:rFonts w:eastAsiaTheme="minorEastAsia"/>
          <w:b/>
          <w:bCs/>
          <w:kern w:val="44"/>
          <w:sz w:val="32"/>
          <w:szCs w:val="44"/>
        </w:rPr>
      </w:pPr>
      <w:r>
        <w:rPr>
          <w:rFonts w:hint="eastAsia" w:ascii="黑体" w:hAnsi="黑体" w:eastAsia="黑体"/>
          <w:sz w:val="32"/>
          <w:szCs w:val="32"/>
        </w:rPr>
        <w:t>2025年3月</w:t>
      </w:r>
      <w:r>
        <w:rPr>
          <w:rFonts w:ascii="黑体" w:hAnsi="黑体" w:eastAsia="黑体"/>
          <w:sz w:val="32"/>
          <w:szCs w:val="32"/>
        </w:rPr>
        <w:br w:type="page"/>
      </w:r>
    </w:p>
    <w:p>
      <w:pPr>
        <w:pStyle w:val="3"/>
        <w:spacing w:before="156"/>
      </w:pPr>
      <w:r>
        <w:rPr>
          <w:rFonts w:hint="eastAsia"/>
        </w:rPr>
        <w:t>一、工作简况，包括任务来源、制定背景、起草过程等</w:t>
      </w:r>
    </w:p>
    <w:p>
      <w:pPr>
        <w:pStyle w:val="4"/>
        <w:spacing w:before="163"/>
      </w:pPr>
      <w:r>
        <w:rPr>
          <w:rFonts w:hint="eastAsia"/>
        </w:rPr>
        <w:t>（一）任务来源及制定背景</w:t>
      </w:r>
    </w:p>
    <w:p>
      <w:pPr>
        <w:ind w:firstLine="480"/>
        <w:rPr>
          <w:rFonts w:hint="eastAsia" w:ascii="宋体" w:hAnsi="宋体" w:cs="宋体"/>
        </w:rPr>
      </w:pPr>
      <w:r>
        <w:rPr>
          <w:rFonts w:ascii="宋体" w:hAnsi="宋体" w:cs="宋体"/>
        </w:rPr>
        <w:t>西瓜(</w:t>
      </w:r>
      <w:r>
        <w:rPr>
          <w:rFonts w:ascii="宋体" w:hAnsi="宋体" w:cs="宋体"/>
          <w:i/>
          <w:iCs/>
        </w:rPr>
        <w:t>Citrulluslanatus L</w:t>
      </w:r>
      <w:r>
        <w:rPr>
          <w:rFonts w:ascii="宋体" w:hAnsi="宋体" w:cs="宋体"/>
          <w:i w:val="0"/>
          <w:iCs w:val="0"/>
        </w:rPr>
        <w:t>.</w:t>
      </w:r>
      <w:r>
        <w:rPr>
          <w:rFonts w:ascii="宋体" w:hAnsi="宋体" w:cs="宋体"/>
        </w:rPr>
        <w:t>)原产于非洲,一年生蔓生藤本植物,属于葫芦科,是世界五大水果之一,在世界各地均有广泛种植。我国的西瓜栽培历史悠久,种植面积广泛,约占世界总种植面积的55%。同时,西瓜作为我国产量最大的水果之一,年产量达到6000万</w:t>
      </w:r>
      <w:r>
        <w:rPr>
          <w:rFonts w:hint="eastAsia" w:ascii="宋体" w:hAnsi="宋体" w:cs="宋体"/>
        </w:rPr>
        <w:t>吨</w:t>
      </w:r>
      <w:r>
        <w:rPr>
          <w:rFonts w:ascii="宋体" w:hAnsi="宋体" w:cs="宋体"/>
        </w:rPr>
        <w:t>以上,占世界总产量的70%以上,远超其他水果产量。西瓜有很高的营养价值和经济价值,是我国重要的水果。西瓜果实味甜多汁、清热解渴,富含维生素C,是营养丰富的夏季优秀果品</w:t>
      </w:r>
      <w:r>
        <w:rPr>
          <w:rFonts w:hint="eastAsia" w:ascii="宋体" w:hAnsi="宋体" w:cs="宋体"/>
        </w:rPr>
        <w:t>；</w:t>
      </w:r>
      <w:r>
        <w:rPr>
          <w:rFonts w:ascii="宋体" w:hAnsi="宋体" w:cs="宋体"/>
        </w:rPr>
        <w:t>且西瓜在我国的价格低廉,夏季市场需求量大,在提高我国农民收入、促进农村经济方面发挥着重要作用。</w:t>
      </w:r>
    </w:p>
    <w:p>
      <w:pPr>
        <w:ind w:firstLine="480"/>
      </w:pPr>
      <w:r>
        <w:rPr>
          <w:rFonts w:hint="eastAsia"/>
        </w:rPr>
        <w:t>西瓜在我国南北皆有栽培，过去以露地栽培为主，现在随着人们生活水平的提高，对西瓜的需求量越来越大，因此，设施西瓜栽培面积迅速扩大，并取得了较好的经济效益。但在设施西瓜的产前、产中、产后环节均存在一定的质量安全隐患。如在产前环节中，康琪等研究发现，设施西瓜中重金属的污染与产地环境以及品种的富集能力相关；产中环节，设施西瓜生产实际过程中用药不规范，超范围、超剂量使用农药的现象时有发生。高艳青等对2017～2019年北京市大兴区西瓜中39种农药残留量进行监测分析，发现西瓜中甲拌磷、甲基异柳磷均有超标。2022年对流通于浙江市场及全省各地生产的西瓜进行农药残留情况监测，结果显示288份西瓜样品共检出29种农药残留，其中检出率较高的3种农药分别为吡唑醚菌酯、啶虫脒、腐霉利。草甘膦和噻虫嗪各有1例超标，因此需要进一步加强合理用药的规范；采后环节，及时进行预冷处理是维持西瓜物流过程品质，延长货架寿命的重要措施。然而，在西瓜物流及采后技术方面，尚无适用范围较广的统一标准可以执行。而我国设施西瓜生产水平与增产提质导向的标准化要求仍存在一定的差距，标准体系结构不够合理。如现可查询到我国西瓜生产相关标准多以生产技术的地方标准为主，像优质种苗繁育等方面的产前标准和分等分级、贮运收藏方面的产后标准比较薄弱，尚未构建起完整性、科学性和实用性兼备的西瓜全产业链标准体系。但从综合标准化角度全面梳理其产前、产中、产后标准化的研究却极少。因此，急需通过贯穿设施西瓜全产业链建立高质量标准体系，指导企业生产保障产品质量安全。《设施西瓜标准综合体》的制定能够有效提高标准的适用性，使生产者快速获取</w:t>
      </w:r>
      <w:bookmarkStart w:id="1" w:name="OLE_LINK5"/>
      <w:r>
        <w:rPr>
          <w:rFonts w:hint="eastAsia"/>
        </w:rPr>
        <w:t>设施西瓜</w:t>
      </w:r>
      <w:bookmarkEnd w:id="1"/>
      <w:r>
        <w:rPr>
          <w:rFonts w:hint="eastAsia"/>
        </w:rPr>
        <w:t>生产的相关标准，降低标准转换难度，有效提高设施西瓜全产业链标准化生产水平，促进产业协同发展，不仅提升了产品的市场竞争力，还增强了品牌的可信度和价值，对促进我国西瓜产业绿色高质量发展具有重要意义。</w:t>
      </w:r>
    </w:p>
    <w:p>
      <w:pPr>
        <w:ind w:firstLine="480"/>
      </w:pPr>
      <w:r>
        <w:rPr>
          <w:rFonts w:hint="eastAsia"/>
        </w:rPr>
        <w:t>本标准综合体的制定是2024年农业农村相关行业标准制修订项目《西瓜全产业链标准体系构建及宣贯》中的任务之一。由</w:t>
      </w:r>
      <w:r>
        <w:rPr>
          <w:rFonts w:hint="eastAsia"/>
          <w:szCs w:val="21"/>
        </w:rPr>
        <w:t>北京市农林科学院质量标准与检测技术研究所负责组织调研、试验并起草制定标准。</w:t>
      </w:r>
    </w:p>
    <w:p>
      <w:pPr>
        <w:pStyle w:val="4"/>
        <w:numPr>
          <w:ilvl w:val="0"/>
          <w:numId w:val="2"/>
        </w:numPr>
        <w:spacing w:before="163"/>
      </w:pPr>
      <w:r>
        <w:rPr>
          <w:rFonts w:hint="eastAsia"/>
        </w:rPr>
        <w:t>起草过程</w:t>
      </w:r>
    </w:p>
    <w:p>
      <w:pPr>
        <w:pStyle w:val="5"/>
        <w:spacing w:before="163"/>
      </w:pPr>
      <w:r>
        <w:rPr>
          <w:rFonts w:hint="eastAsia"/>
        </w:rPr>
        <w:t>1. 起草阶段</w:t>
      </w:r>
    </w:p>
    <w:p>
      <w:pPr>
        <w:ind w:firstLine="480"/>
        <w:rPr>
          <w:rFonts w:cs="Arial"/>
        </w:rPr>
      </w:pPr>
      <w:r>
        <w:rPr>
          <w:szCs w:val="21"/>
        </w:rPr>
        <w:t>为了充分体现标准的先进性和适用性原则，统一规范</w:t>
      </w:r>
      <w:r>
        <w:rPr>
          <w:rFonts w:hint="eastAsia"/>
          <w:szCs w:val="21"/>
        </w:rPr>
        <w:t>设施西瓜全产业链</w:t>
      </w:r>
      <w:r>
        <w:rPr>
          <w:szCs w:val="21"/>
        </w:rPr>
        <w:t>标准化生产经营全过程管理，使标准能够符合实际生产</w:t>
      </w:r>
      <w:r>
        <w:rPr>
          <w:rFonts w:hint="eastAsia"/>
          <w:szCs w:val="21"/>
        </w:rPr>
        <w:t>需求</w:t>
      </w:r>
      <w:r>
        <w:rPr>
          <w:szCs w:val="21"/>
        </w:rPr>
        <w:t>，</w:t>
      </w:r>
      <w:r>
        <w:rPr>
          <w:rFonts w:hint="eastAsia"/>
          <w:szCs w:val="21"/>
        </w:rPr>
        <w:t>《西瓜全产业链标准体系构建及宣贯》标准综合体制定任务下达后</w:t>
      </w:r>
      <w:r>
        <w:rPr>
          <w:szCs w:val="21"/>
        </w:rPr>
        <w:t>，</w:t>
      </w:r>
      <w:r>
        <w:rPr>
          <w:rFonts w:hint="eastAsia"/>
          <w:szCs w:val="21"/>
        </w:rPr>
        <w:t>我单位立即</w:t>
      </w:r>
      <w:r>
        <w:rPr>
          <w:rFonts w:hint="eastAsia" w:cs="Arial"/>
        </w:rPr>
        <w:t>成立了标准起草工作组，制定了相应的工作方案。</w:t>
      </w:r>
    </w:p>
    <w:p>
      <w:pPr>
        <w:ind w:firstLine="480"/>
        <w:rPr>
          <w:rFonts w:cs="Arial"/>
        </w:rPr>
      </w:pPr>
      <w:r>
        <w:rPr>
          <w:rFonts w:hint="eastAsia"/>
        </w:rPr>
        <w:t>2024年6月～2024年8月，</w:t>
      </w:r>
      <w:r>
        <w:rPr>
          <w:rFonts w:hint="eastAsia" w:cs="Arial"/>
        </w:rPr>
        <w:t>前期筹备：</w:t>
      </w:r>
      <w:r>
        <w:rPr>
          <w:rFonts w:hint="eastAsia"/>
          <w:szCs w:val="21"/>
        </w:rPr>
        <w:t>根据农业农村部要求和制标任务书内容，</w:t>
      </w:r>
      <w:r>
        <w:rPr>
          <w:szCs w:val="21"/>
        </w:rPr>
        <w:t>制定</w:t>
      </w:r>
      <w:r>
        <w:rPr>
          <w:szCs w:val="21"/>
          <w:highlight w:val="none"/>
        </w:rPr>
        <w:t>了详细的工作方案</w:t>
      </w:r>
      <w:r>
        <w:rPr>
          <w:rFonts w:hint="eastAsia"/>
          <w:szCs w:val="21"/>
          <w:highlight w:val="none"/>
        </w:rPr>
        <w:t>并进行了分工落实。标准制定过程主要由北京市农林科学院质量标准与检测技术研究所、</w:t>
      </w:r>
      <w:r>
        <w:rPr>
          <w:rFonts w:hint="eastAsia"/>
          <w:szCs w:val="21"/>
          <w:highlight w:val="none"/>
          <w:lang w:val="en-US" w:eastAsia="zh-CN"/>
        </w:rPr>
        <w:t>XXX</w:t>
      </w:r>
      <w:r>
        <w:rPr>
          <w:rFonts w:hint="eastAsia"/>
          <w:szCs w:val="21"/>
          <w:highlight w:val="none"/>
        </w:rPr>
        <w:t>等单位的人员</w:t>
      </w:r>
      <w:r>
        <w:rPr>
          <w:rFonts w:hint="eastAsia"/>
          <w:szCs w:val="21"/>
        </w:rPr>
        <w:t>完成，包括资料收集、市场调研、技术验证、标准起草、征求意见等</w:t>
      </w:r>
      <w:r>
        <w:rPr>
          <w:rFonts w:hint="eastAsia" w:cs="Arial"/>
        </w:rPr>
        <w:t>。</w:t>
      </w:r>
    </w:p>
    <w:p>
      <w:pPr>
        <w:ind w:firstLine="480"/>
        <w:rPr>
          <w:rFonts w:cs="Arial"/>
        </w:rPr>
      </w:pPr>
      <w:r>
        <w:rPr>
          <w:rFonts w:hint="eastAsia" w:cs="Arial"/>
        </w:rPr>
        <w:t>2024年9月</w:t>
      </w:r>
      <w:r>
        <w:rPr>
          <w:rFonts w:hint="eastAsia"/>
        </w:rPr>
        <w:t>～</w:t>
      </w:r>
      <w:r>
        <w:rPr>
          <w:rFonts w:hint="eastAsia" w:cs="Arial"/>
        </w:rPr>
        <w:t>2024年</w:t>
      </w:r>
      <w:r>
        <w:rPr>
          <w:rFonts w:cs="Arial"/>
        </w:rPr>
        <w:t>1</w:t>
      </w:r>
      <w:r>
        <w:rPr>
          <w:rFonts w:hint="eastAsia" w:cs="Arial"/>
        </w:rPr>
        <w:t>0月，</w:t>
      </w:r>
      <w:r>
        <w:rPr>
          <w:rFonts w:hint="eastAsia"/>
        </w:rPr>
        <w:t>标准起草小组首先进行了大量的调研，查阅了国家、行业、地方和团体相关技术标准，结合近年来西瓜科技相关进展和西瓜产业的标准化生产管理的实际需求，广泛收集相关资料。对搜集的资料进行了系统的分析，理清设施西瓜全产业链各个环节的涵盖内容。通过对西瓜产业调研，涉及设施农业基地、产业园区等，掌握了设施全产业链栽培品种、设施设备、育苗、栽培管理、产后贮运加工等设施西瓜生产的基本情况，并将科学理念、先进的设备和技术进行提炼总结，</w:t>
      </w:r>
      <w:r>
        <w:rPr>
          <w:rFonts w:hint="eastAsia" w:ascii="宋体" w:hAnsi="宋体"/>
        </w:rPr>
        <w:t>拟定了《</w:t>
      </w:r>
      <w:r>
        <w:rPr>
          <w:rFonts w:hint="eastAsia"/>
        </w:rPr>
        <w:t>设施西瓜</w:t>
      </w:r>
      <w:r>
        <w:rPr>
          <w:rFonts w:hint="eastAsia" w:ascii="宋体" w:hAnsi="宋体"/>
        </w:rPr>
        <w:t>标准综合体》标准草案</w:t>
      </w:r>
      <w:r>
        <w:rPr>
          <w:rFonts w:hint="eastAsia" w:cs="Arial"/>
        </w:rPr>
        <w:t>。</w:t>
      </w:r>
    </w:p>
    <w:p>
      <w:pPr>
        <w:ind w:firstLine="480"/>
      </w:pPr>
      <w:r>
        <w:t>2024年1</w:t>
      </w:r>
      <w:r>
        <w:rPr>
          <w:rFonts w:hint="eastAsia"/>
        </w:rPr>
        <w:t>1</w:t>
      </w:r>
      <w:r>
        <w:t>月</w:t>
      </w:r>
      <w:r>
        <w:rPr>
          <w:rFonts w:hint="eastAsia"/>
        </w:rPr>
        <w:t>～</w:t>
      </w:r>
      <w:r>
        <w:t>202</w:t>
      </w:r>
      <w:r>
        <w:rPr>
          <w:rFonts w:hint="eastAsia"/>
        </w:rPr>
        <w:t>5</w:t>
      </w:r>
      <w:r>
        <w:t>年4月</w:t>
      </w:r>
      <w:r>
        <w:rPr>
          <w:rFonts w:hint="eastAsia" w:cs="Arial"/>
        </w:rPr>
        <w:t>，</w:t>
      </w:r>
      <w:r>
        <w:rPr>
          <w:rFonts w:hint="eastAsia" w:ascii="宋体" w:hAnsi="宋体"/>
        </w:rPr>
        <w:t>召开起草组工作会议，就标准草案中标准范围、框架以及各部分技术指标等内容的确定等开展研讨与交流。</w:t>
      </w:r>
      <w:r>
        <w:rPr>
          <w:rFonts w:hint="eastAsia"/>
        </w:rPr>
        <w:t>在</w:t>
      </w:r>
      <w:r>
        <w:rPr>
          <w:rFonts w:hint="eastAsia" w:ascii="宋体" w:hAnsi="宋体"/>
        </w:rPr>
        <w:t>充分研讨基础上，对标准草案进行多次修改和完善，形成了</w:t>
      </w:r>
      <w:r>
        <w:rPr>
          <w:rFonts w:hint="eastAsia"/>
        </w:rPr>
        <w:t>包括总则、产地环境、种苗繁育、栽培管理、等级规格与包装、</w:t>
      </w:r>
      <w:r>
        <w:rPr>
          <w:rFonts w:hint="eastAsia" w:cstheme="majorBidi"/>
          <w:szCs w:val="28"/>
        </w:rPr>
        <w:t>贮存与运输</w:t>
      </w:r>
      <w:r>
        <w:rPr>
          <w:rFonts w:hint="eastAsia"/>
        </w:rPr>
        <w:t>和质量控制7个部分的《设施西瓜标准综合体》征求意见稿初稿。</w:t>
      </w:r>
    </w:p>
    <w:p>
      <w:pPr>
        <w:ind w:firstLine="480"/>
        <w:rPr>
          <w:rFonts w:cs="Arial"/>
        </w:rPr>
      </w:pPr>
    </w:p>
    <w:p>
      <w:pPr>
        <w:pStyle w:val="5"/>
        <w:spacing w:before="163"/>
      </w:pPr>
      <w:r>
        <w:rPr>
          <w:rFonts w:hint="eastAsia"/>
        </w:rPr>
        <w:t>2. 起草成员及承担任务</w:t>
      </w:r>
    </w:p>
    <w:p>
      <w:pPr>
        <w:spacing w:before="32" w:beforeLines="10" w:after="32" w:afterLines="10"/>
        <w:ind w:firstLine="480"/>
        <w:rPr>
          <w:rFonts w:cs="Arial"/>
        </w:rPr>
      </w:pPr>
      <w:r>
        <w:rPr>
          <w:rFonts w:hint="eastAsia"/>
        </w:rPr>
        <w:t>本标准的起草单位为</w:t>
      </w:r>
      <w:r>
        <w:rPr>
          <w:color w:val="000000" w:themeColor="text1"/>
          <w14:textFill>
            <w14:solidFill>
              <w14:schemeClr w14:val="tx1"/>
            </w14:solidFill>
          </w14:textFill>
        </w:rPr>
        <w:t>北京市农林科学院质量标准与检测技术研究所、</w:t>
      </w:r>
      <w:r>
        <w:rPr>
          <w:rFonts w:hint="eastAsia"/>
          <w:color w:val="000000" w:themeColor="text1"/>
          <w14:textFill>
            <w14:solidFill>
              <w14:schemeClr w14:val="tx1"/>
            </w14:solidFill>
          </w14:textFill>
        </w:rPr>
        <w:t>北京市农产品质量安全中心、</w:t>
      </w:r>
      <w:r>
        <w:rPr>
          <w:rFonts w:hint="eastAsia"/>
          <w:color w:val="000000" w:themeColor="text1"/>
          <w:lang w:val="en-US" w:eastAsia="zh-CN"/>
          <w14:textFill>
            <w14:solidFill>
              <w14:schemeClr w14:val="tx1"/>
            </w14:solidFill>
          </w14:textFill>
        </w:rPr>
        <w:t>XXX</w:t>
      </w:r>
      <w:r>
        <w:rPr>
          <w:color w:val="000000" w:themeColor="text1"/>
          <w14:textFill>
            <w14:solidFill>
              <w14:schemeClr w14:val="tx1"/>
            </w14:solidFill>
          </w14:textFill>
        </w:rPr>
        <w:t>。</w:t>
      </w:r>
      <w:r>
        <w:rPr>
          <w:rFonts w:hint="eastAsia"/>
        </w:rPr>
        <w:t>参与人员姓名、单位及分工如下：</w:t>
      </w:r>
    </w:p>
    <w:tbl>
      <w:tblPr>
        <w:tblStyle w:val="14"/>
        <w:tblW w:w="85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4155"/>
        <w:gridCol w:w="3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1113" w:type="dxa"/>
            <w:vAlign w:val="center"/>
          </w:tcPr>
          <w:p>
            <w:pPr>
              <w:spacing w:line="240" w:lineRule="auto"/>
              <w:ind w:firstLine="0" w:firstLineChars="0"/>
              <w:jc w:val="center"/>
              <w:rPr>
                <w:rFonts w:cs="Arial"/>
              </w:rPr>
            </w:pPr>
            <w:r>
              <w:rPr>
                <w:rFonts w:hint="eastAsia" w:cs="Arial"/>
              </w:rPr>
              <w:t>姓名</w:t>
            </w:r>
          </w:p>
        </w:tc>
        <w:tc>
          <w:tcPr>
            <w:tcW w:w="4155" w:type="dxa"/>
            <w:vAlign w:val="center"/>
          </w:tcPr>
          <w:p>
            <w:pPr>
              <w:spacing w:line="240" w:lineRule="auto"/>
              <w:ind w:firstLine="0" w:firstLineChars="0"/>
              <w:jc w:val="center"/>
              <w:rPr>
                <w:rFonts w:cs="Arial"/>
              </w:rPr>
            </w:pPr>
            <w:r>
              <w:rPr>
                <w:rFonts w:hint="eastAsia" w:cs="Arial"/>
              </w:rPr>
              <w:t>单位</w:t>
            </w:r>
          </w:p>
        </w:tc>
        <w:tc>
          <w:tcPr>
            <w:tcW w:w="3297" w:type="dxa"/>
            <w:vAlign w:val="center"/>
          </w:tcPr>
          <w:p>
            <w:pPr>
              <w:spacing w:line="240" w:lineRule="auto"/>
              <w:ind w:firstLine="0" w:firstLineChars="0"/>
              <w:jc w:val="center"/>
              <w:rPr>
                <w:rFonts w:cs="Arial"/>
              </w:rPr>
            </w:pPr>
            <w:r>
              <w:rPr>
                <w:rFonts w:hint="eastAsia" w:cs="Arial"/>
              </w:rPr>
              <w:t>项目分工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1113" w:type="dxa"/>
            <w:vAlign w:val="center"/>
          </w:tcPr>
          <w:p>
            <w:pPr>
              <w:spacing w:line="240" w:lineRule="auto"/>
              <w:ind w:firstLine="0" w:firstLineChars="0"/>
              <w:rPr>
                <w:rFonts w:cs="Arial"/>
              </w:rPr>
            </w:pPr>
          </w:p>
        </w:tc>
        <w:tc>
          <w:tcPr>
            <w:tcW w:w="4155" w:type="dxa"/>
            <w:vAlign w:val="center"/>
          </w:tcPr>
          <w:p>
            <w:pPr>
              <w:spacing w:line="240" w:lineRule="auto"/>
              <w:ind w:firstLine="0" w:firstLineChars="0"/>
              <w:rPr>
                <w:rFonts w:cs="Arial"/>
              </w:rPr>
            </w:pPr>
            <w:r>
              <w:rPr>
                <w:rFonts w:hint="eastAsia" w:cs="Arial"/>
              </w:rPr>
              <w:t>北京市农林科学院质量标准与检测技术研究所</w:t>
            </w:r>
          </w:p>
        </w:tc>
        <w:tc>
          <w:tcPr>
            <w:tcW w:w="3297" w:type="dxa"/>
            <w:vAlign w:val="center"/>
          </w:tcPr>
          <w:p>
            <w:pPr>
              <w:spacing w:line="240" w:lineRule="auto"/>
              <w:ind w:firstLine="0" w:firstLineChars="0"/>
              <w:jc w:val="center"/>
              <w:rPr>
                <w:rFonts w:cs="Arial"/>
              </w:rPr>
            </w:pPr>
            <w:r>
              <w:rPr>
                <w:rFonts w:hint="eastAsia" w:cs="Arial"/>
              </w:rPr>
              <w:t>组织项目实施，拟定标准框架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trPr>
        <w:tc>
          <w:tcPr>
            <w:tcW w:w="1113" w:type="dxa"/>
            <w:vAlign w:val="center"/>
          </w:tcPr>
          <w:p>
            <w:pPr>
              <w:spacing w:line="240" w:lineRule="auto"/>
              <w:ind w:firstLine="0" w:firstLineChars="0"/>
              <w:rPr>
                <w:rFonts w:cs="Arial"/>
              </w:rPr>
            </w:pPr>
          </w:p>
        </w:tc>
        <w:tc>
          <w:tcPr>
            <w:tcW w:w="4155" w:type="dxa"/>
            <w:vAlign w:val="center"/>
          </w:tcPr>
          <w:p>
            <w:pPr>
              <w:spacing w:line="240" w:lineRule="auto"/>
              <w:ind w:firstLine="0" w:firstLineChars="0"/>
              <w:rPr>
                <w:rFonts w:cs="Arial"/>
              </w:rPr>
            </w:pPr>
            <w:r>
              <w:rPr>
                <w:rFonts w:hint="eastAsia" w:cs="Arial"/>
              </w:rPr>
              <w:t>北京市农林科学院质量标准与检测技术研究所</w:t>
            </w:r>
          </w:p>
        </w:tc>
        <w:tc>
          <w:tcPr>
            <w:tcW w:w="3297" w:type="dxa"/>
            <w:vAlign w:val="center"/>
          </w:tcPr>
          <w:p>
            <w:pPr>
              <w:spacing w:line="240" w:lineRule="auto"/>
              <w:ind w:firstLine="0" w:firstLineChars="0"/>
              <w:rPr>
                <w:rFonts w:cs="Arial"/>
              </w:rPr>
            </w:pPr>
            <w:r>
              <w:rPr>
                <w:rFonts w:hint="eastAsia" w:cs="Arial"/>
              </w:rPr>
              <w:t>组织项目实施，拟定标准框架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1113" w:type="dxa"/>
            <w:vAlign w:val="center"/>
          </w:tcPr>
          <w:p>
            <w:pPr>
              <w:spacing w:line="240" w:lineRule="auto"/>
              <w:ind w:firstLine="0" w:firstLineChars="0"/>
              <w:rPr>
                <w:rFonts w:cs="Arial"/>
              </w:rPr>
            </w:pPr>
          </w:p>
        </w:tc>
        <w:tc>
          <w:tcPr>
            <w:tcW w:w="4155" w:type="dxa"/>
            <w:vAlign w:val="center"/>
          </w:tcPr>
          <w:p>
            <w:pPr>
              <w:spacing w:line="240" w:lineRule="auto"/>
              <w:ind w:firstLine="0" w:firstLineChars="0"/>
              <w:rPr>
                <w:rFonts w:cs="Arial"/>
              </w:rPr>
            </w:pPr>
            <w:r>
              <w:rPr>
                <w:rFonts w:hint="eastAsia" w:cs="Arial"/>
              </w:rPr>
              <w:t>北京市农林科学院质量标准与检测技术研究所</w:t>
            </w:r>
          </w:p>
        </w:tc>
        <w:tc>
          <w:tcPr>
            <w:tcW w:w="3297" w:type="dxa"/>
            <w:vAlign w:val="center"/>
          </w:tcPr>
          <w:p>
            <w:pPr>
              <w:spacing w:line="240" w:lineRule="auto"/>
              <w:ind w:firstLine="0" w:firstLineChars="0"/>
              <w:rPr>
                <w:rFonts w:cs="Arial"/>
              </w:rPr>
            </w:pPr>
            <w:r>
              <w:rPr>
                <w:rFonts w:hint="eastAsia" w:cs="Arial"/>
              </w:rPr>
              <w:t>负责部分条款的起草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1113" w:type="dxa"/>
            <w:vAlign w:val="center"/>
          </w:tcPr>
          <w:p>
            <w:pPr>
              <w:spacing w:line="240" w:lineRule="auto"/>
              <w:ind w:firstLine="0" w:firstLineChars="0"/>
              <w:rPr>
                <w:rFonts w:cs="Arial"/>
              </w:rPr>
            </w:pPr>
          </w:p>
        </w:tc>
        <w:tc>
          <w:tcPr>
            <w:tcW w:w="4155" w:type="dxa"/>
            <w:vAlign w:val="center"/>
          </w:tcPr>
          <w:p>
            <w:pPr>
              <w:spacing w:line="240" w:lineRule="auto"/>
              <w:ind w:firstLine="0" w:firstLineChars="0"/>
              <w:rPr>
                <w:rFonts w:cs="Arial"/>
              </w:rPr>
            </w:pPr>
          </w:p>
        </w:tc>
        <w:tc>
          <w:tcPr>
            <w:tcW w:w="3297" w:type="dxa"/>
            <w:vAlign w:val="center"/>
          </w:tcPr>
          <w:p>
            <w:pPr>
              <w:spacing w:line="240" w:lineRule="auto"/>
              <w:ind w:firstLine="0" w:firstLineChars="0"/>
              <w:rPr>
                <w:rFonts w:cs="Arial"/>
              </w:rPr>
            </w:pPr>
            <w:r>
              <w:rPr>
                <w:rFonts w:hint="eastAsia" w:cs="Arial"/>
              </w:rPr>
              <w:t>负责部分条款的起草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1113" w:type="dxa"/>
            <w:vAlign w:val="center"/>
          </w:tcPr>
          <w:p>
            <w:pPr>
              <w:spacing w:line="240" w:lineRule="auto"/>
              <w:ind w:firstLine="0" w:firstLineChars="0"/>
              <w:rPr>
                <w:rFonts w:cs="Arial"/>
              </w:rPr>
            </w:pPr>
          </w:p>
        </w:tc>
        <w:tc>
          <w:tcPr>
            <w:tcW w:w="4155" w:type="dxa"/>
            <w:vAlign w:val="center"/>
          </w:tcPr>
          <w:p>
            <w:pPr>
              <w:spacing w:line="240" w:lineRule="auto"/>
              <w:ind w:firstLine="0" w:firstLineChars="0"/>
              <w:rPr>
                <w:rFonts w:cs="Arial"/>
              </w:rPr>
            </w:pPr>
          </w:p>
        </w:tc>
        <w:tc>
          <w:tcPr>
            <w:tcW w:w="3297" w:type="dxa"/>
            <w:vAlign w:val="center"/>
          </w:tcPr>
          <w:p>
            <w:pPr>
              <w:spacing w:line="240" w:lineRule="auto"/>
              <w:ind w:firstLine="0" w:firstLineChars="0"/>
              <w:rPr>
                <w:rFonts w:cs="Arial"/>
              </w:rPr>
            </w:pPr>
            <w:r>
              <w:rPr>
                <w:rFonts w:hint="eastAsia" w:cs="Arial"/>
              </w:rPr>
              <w:t>负责调研和资料收集、整理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113" w:type="dxa"/>
            <w:vAlign w:val="center"/>
          </w:tcPr>
          <w:p>
            <w:pPr>
              <w:spacing w:line="240" w:lineRule="auto"/>
              <w:ind w:firstLine="0" w:firstLineChars="0"/>
              <w:rPr>
                <w:rFonts w:cs="Arial"/>
              </w:rPr>
            </w:pPr>
          </w:p>
        </w:tc>
        <w:tc>
          <w:tcPr>
            <w:tcW w:w="4155" w:type="dxa"/>
            <w:vAlign w:val="center"/>
          </w:tcPr>
          <w:p>
            <w:pPr>
              <w:spacing w:line="240" w:lineRule="auto"/>
              <w:ind w:firstLine="0" w:firstLineChars="0"/>
              <w:rPr>
                <w:rFonts w:cs="Arial"/>
              </w:rPr>
            </w:pPr>
          </w:p>
        </w:tc>
        <w:tc>
          <w:tcPr>
            <w:tcW w:w="3297" w:type="dxa"/>
            <w:vAlign w:val="center"/>
          </w:tcPr>
          <w:p>
            <w:pPr>
              <w:spacing w:line="240" w:lineRule="auto"/>
              <w:ind w:firstLine="0" w:firstLineChars="0"/>
              <w:rPr>
                <w:rFonts w:cs="Arial"/>
              </w:rPr>
            </w:pPr>
            <w:r>
              <w:rPr>
                <w:rFonts w:hint="eastAsia" w:cs="Arial"/>
              </w:rPr>
              <w:t>负责部分条款的起草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113" w:type="dxa"/>
            <w:vAlign w:val="center"/>
          </w:tcPr>
          <w:p>
            <w:pPr>
              <w:spacing w:line="240" w:lineRule="auto"/>
              <w:ind w:firstLine="0" w:firstLineChars="0"/>
              <w:rPr>
                <w:rFonts w:cs="Arial"/>
              </w:rPr>
            </w:pPr>
          </w:p>
        </w:tc>
        <w:tc>
          <w:tcPr>
            <w:tcW w:w="4155" w:type="dxa"/>
            <w:vAlign w:val="center"/>
          </w:tcPr>
          <w:p>
            <w:pPr>
              <w:spacing w:line="240" w:lineRule="auto"/>
              <w:ind w:firstLine="0" w:firstLineChars="0"/>
              <w:rPr>
                <w:rFonts w:cs="Arial"/>
              </w:rPr>
            </w:pPr>
          </w:p>
        </w:tc>
        <w:tc>
          <w:tcPr>
            <w:tcW w:w="3297" w:type="dxa"/>
            <w:vAlign w:val="center"/>
          </w:tcPr>
          <w:p>
            <w:pPr>
              <w:spacing w:line="240" w:lineRule="auto"/>
              <w:ind w:firstLine="0" w:firstLineChars="0"/>
              <w:rPr>
                <w:rFonts w:cs="Arial"/>
              </w:rPr>
            </w:pPr>
            <w:r>
              <w:rPr>
                <w:rFonts w:hint="eastAsia" w:cs="Arial"/>
              </w:rPr>
              <w:t>负责部分条款的起草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13" w:type="dxa"/>
            <w:vAlign w:val="center"/>
          </w:tcPr>
          <w:p>
            <w:pPr>
              <w:spacing w:line="240" w:lineRule="auto"/>
              <w:ind w:firstLine="0" w:firstLineChars="0"/>
              <w:rPr>
                <w:rFonts w:cs="Arial"/>
              </w:rPr>
            </w:pPr>
          </w:p>
        </w:tc>
        <w:tc>
          <w:tcPr>
            <w:tcW w:w="4155" w:type="dxa"/>
            <w:vAlign w:val="center"/>
          </w:tcPr>
          <w:p>
            <w:pPr>
              <w:spacing w:line="240" w:lineRule="auto"/>
              <w:ind w:firstLine="0" w:firstLineChars="0"/>
              <w:rPr>
                <w:rFonts w:cs="Arial"/>
              </w:rPr>
            </w:pPr>
          </w:p>
        </w:tc>
        <w:tc>
          <w:tcPr>
            <w:tcW w:w="3297" w:type="dxa"/>
            <w:vAlign w:val="center"/>
          </w:tcPr>
          <w:p>
            <w:pPr>
              <w:spacing w:line="240" w:lineRule="auto"/>
              <w:ind w:firstLine="0" w:firstLineChars="0"/>
              <w:rPr>
                <w:rFonts w:cs="Arial"/>
              </w:rPr>
            </w:pPr>
            <w:r>
              <w:rPr>
                <w:rFonts w:hint="eastAsia" w:cs="Arial"/>
              </w:rPr>
              <w:t>负责部分条款的起草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13" w:type="dxa"/>
            <w:vAlign w:val="center"/>
          </w:tcPr>
          <w:p>
            <w:pPr>
              <w:spacing w:line="240" w:lineRule="auto"/>
              <w:ind w:firstLine="0" w:firstLineChars="0"/>
              <w:rPr>
                <w:rFonts w:cs="Arial"/>
              </w:rPr>
            </w:pPr>
          </w:p>
        </w:tc>
        <w:tc>
          <w:tcPr>
            <w:tcW w:w="4155" w:type="dxa"/>
            <w:vAlign w:val="center"/>
          </w:tcPr>
          <w:p>
            <w:pPr>
              <w:spacing w:line="240" w:lineRule="auto"/>
              <w:ind w:firstLine="0" w:firstLineChars="0"/>
              <w:rPr>
                <w:rFonts w:cs="Arial"/>
              </w:rPr>
            </w:pPr>
          </w:p>
        </w:tc>
        <w:tc>
          <w:tcPr>
            <w:tcW w:w="3297" w:type="dxa"/>
            <w:vAlign w:val="center"/>
          </w:tcPr>
          <w:p>
            <w:pPr>
              <w:spacing w:line="240" w:lineRule="auto"/>
              <w:ind w:firstLine="0" w:firstLineChars="0"/>
              <w:rPr>
                <w:rFonts w:cs="Arial"/>
              </w:rPr>
            </w:pPr>
            <w:r>
              <w:rPr>
                <w:rFonts w:hint="eastAsia" w:cs="Arial"/>
              </w:rPr>
              <w:t>负责部分条款的起草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1113" w:type="dxa"/>
            <w:vAlign w:val="center"/>
          </w:tcPr>
          <w:p>
            <w:pPr>
              <w:spacing w:line="240" w:lineRule="auto"/>
              <w:ind w:firstLine="0" w:firstLineChars="0"/>
              <w:rPr>
                <w:color w:val="000000" w:themeColor="text1"/>
                <w14:textFill>
                  <w14:solidFill>
                    <w14:schemeClr w14:val="tx1"/>
                  </w14:solidFill>
                </w14:textFill>
              </w:rPr>
            </w:pPr>
          </w:p>
        </w:tc>
        <w:tc>
          <w:tcPr>
            <w:tcW w:w="4155" w:type="dxa"/>
            <w:vAlign w:val="center"/>
          </w:tcPr>
          <w:p>
            <w:pPr>
              <w:spacing w:line="240" w:lineRule="auto"/>
              <w:ind w:firstLine="0" w:firstLineChars="0"/>
              <w:rPr>
                <w:rFonts w:cs="Arial"/>
              </w:rPr>
            </w:pPr>
          </w:p>
        </w:tc>
        <w:tc>
          <w:tcPr>
            <w:tcW w:w="3297" w:type="dxa"/>
            <w:vAlign w:val="center"/>
          </w:tcPr>
          <w:p>
            <w:pPr>
              <w:spacing w:line="240" w:lineRule="auto"/>
              <w:ind w:firstLine="0" w:firstLineChars="0"/>
              <w:rPr>
                <w:rFonts w:cs="Arial"/>
              </w:rPr>
            </w:pPr>
            <w:r>
              <w:rPr>
                <w:rFonts w:hint="eastAsia" w:cs="Arial"/>
              </w:rPr>
              <w:t>负责部分条款的起草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1113" w:type="dxa"/>
            <w:vAlign w:val="center"/>
          </w:tcPr>
          <w:p>
            <w:pPr>
              <w:spacing w:line="240" w:lineRule="auto"/>
              <w:ind w:firstLine="0" w:firstLineChars="0"/>
              <w:rPr>
                <w:color w:val="000000" w:themeColor="text1"/>
                <w14:textFill>
                  <w14:solidFill>
                    <w14:schemeClr w14:val="tx1"/>
                  </w14:solidFill>
                </w14:textFill>
              </w:rPr>
            </w:pPr>
          </w:p>
        </w:tc>
        <w:tc>
          <w:tcPr>
            <w:tcW w:w="4155" w:type="dxa"/>
            <w:vAlign w:val="center"/>
          </w:tcPr>
          <w:p>
            <w:pPr>
              <w:spacing w:line="240" w:lineRule="auto"/>
              <w:ind w:firstLine="0" w:firstLineChars="0"/>
              <w:rPr>
                <w:rFonts w:cs="Arial"/>
              </w:rPr>
            </w:pPr>
          </w:p>
        </w:tc>
        <w:tc>
          <w:tcPr>
            <w:tcW w:w="3297" w:type="dxa"/>
            <w:vAlign w:val="center"/>
          </w:tcPr>
          <w:p>
            <w:pPr>
              <w:spacing w:line="240" w:lineRule="auto"/>
              <w:ind w:firstLine="0" w:firstLineChars="0"/>
              <w:rPr>
                <w:rFonts w:cs="Arial"/>
              </w:rPr>
            </w:pPr>
            <w:r>
              <w:rPr>
                <w:rFonts w:hint="eastAsia" w:cs="Arial"/>
              </w:rPr>
              <w:t>负责部分条款的起草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1113" w:type="dxa"/>
            <w:vAlign w:val="center"/>
          </w:tcPr>
          <w:p>
            <w:pPr>
              <w:spacing w:line="240" w:lineRule="auto"/>
              <w:ind w:firstLine="0" w:firstLineChars="0"/>
              <w:rPr>
                <w:color w:val="000000" w:themeColor="text1"/>
                <w14:textFill>
                  <w14:solidFill>
                    <w14:schemeClr w14:val="tx1"/>
                  </w14:solidFill>
                </w14:textFill>
              </w:rPr>
            </w:pPr>
          </w:p>
        </w:tc>
        <w:tc>
          <w:tcPr>
            <w:tcW w:w="4155" w:type="dxa"/>
            <w:vAlign w:val="center"/>
          </w:tcPr>
          <w:p>
            <w:pPr>
              <w:spacing w:line="240" w:lineRule="auto"/>
              <w:ind w:firstLine="0" w:firstLineChars="0"/>
              <w:rPr>
                <w:rFonts w:cs="Arial"/>
              </w:rPr>
            </w:pPr>
          </w:p>
        </w:tc>
        <w:tc>
          <w:tcPr>
            <w:tcW w:w="3297" w:type="dxa"/>
            <w:vAlign w:val="center"/>
          </w:tcPr>
          <w:p>
            <w:pPr>
              <w:spacing w:line="240" w:lineRule="auto"/>
              <w:ind w:firstLine="0" w:firstLineChars="0"/>
              <w:rPr>
                <w:rFonts w:cs="Arial"/>
              </w:rPr>
            </w:pPr>
            <w:r>
              <w:rPr>
                <w:rFonts w:hint="eastAsia" w:cs="Arial"/>
              </w:rPr>
              <w:t>负责标准推广与应用</w:t>
            </w:r>
          </w:p>
        </w:tc>
      </w:tr>
    </w:tbl>
    <w:p>
      <w:pPr>
        <w:pStyle w:val="5"/>
        <w:spacing w:before="163"/>
      </w:pPr>
      <w:r>
        <w:rPr>
          <w:rFonts w:hint="eastAsia"/>
        </w:rPr>
        <w:t>3. 征求意见阶段</w:t>
      </w:r>
    </w:p>
    <w:p>
      <w:pPr>
        <w:ind w:firstLine="480"/>
        <w:rPr>
          <w:rFonts w:cs="Arial"/>
        </w:rPr>
      </w:pPr>
      <w:r>
        <w:rPr>
          <w:rFonts w:hint="eastAsia" w:cs="Arial"/>
        </w:rPr>
        <w:t>20</w:t>
      </w:r>
      <w:r>
        <w:rPr>
          <w:rFonts w:cs="Arial"/>
        </w:rPr>
        <w:t>2</w:t>
      </w:r>
      <w:r>
        <w:rPr>
          <w:rFonts w:hint="eastAsia" w:cs="Arial"/>
        </w:rPr>
        <w:t>5年X</w:t>
      </w:r>
      <w:r>
        <w:rPr>
          <w:rFonts w:cs="Arial"/>
        </w:rPr>
        <w:t>~</w:t>
      </w:r>
      <w:r>
        <w:rPr>
          <w:rFonts w:hint="eastAsia" w:cs="Arial"/>
        </w:rPr>
        <w:t xml:space="preserve"> X月，制定出标准征求意见稿，验证分析；</w:t>
      </w:r>
      <w:r>
        <w:rPr>
          <w:rFonts w:hint="eastAsia"/>
        </w:rPr>
        <w:t>面向西瓜生产相关科研单位、技术推广站、企业等的相关专家征求意见，在吸收行业专家及领头企业多方意见和建议（</w:t>
      </w:r>
      <w:r>
        <w:rPr>
          <w:rFonts w:hint="eastAsia"/>
          <w:szCs w:val="21"/>
        </w:rPr>
        <w:t>详见《征求意见汇总表》</w:t>
      </w:r>
      <w:r>
        <w:rPr>
          <w:rFonts w:hint="eastAsia"/>
        </w:rPr>
        <w:t>）的基础上对征求意见稿进行补充和完善，</w:t>
      </w:r>
      <w:r>
        <w:rPr>
          <w:rFonts w:hint="eastAsia"/>
          <w:highlight w:val="none"/>
        </w:rPr>
        <w:t>于2025年X月形成</w:t>
      </w:r>
      <w:r>
        <w:rPr>
          <w:rFonts w:hint="eastAsia"/>
        </w:rPr>
        <w:t>了包括括总则、产地环境、种苗繁育、栽培管理、等级规格与包装、</w:t>
      </w:r>
      <w:r>
        <w:rPr>
          <w:rFonts w:hint="eastAsia" w:cstheme="majorBidi"/>
          <w:szCs w:val="28"/>
        </w:rPr>
        <w:t>贮存与运输</w:t>
      </w:r>
      <w:r>
        <w:rPr>
          <w:rFonts w:hint="eastAsia"/>
        </w:rPr>
        <w:t>和质量控制7个部分的《设施西瓜标准综合体》</w:t>
      </w:r>
      <w:r>
        <w:t>送审</w:t>
      </w:r>
      <w:r>
        <w:rPr>
          <w:rFonts w:hint="eastAsia"/>
        </w:rPr>
        <w:t>稿</w:t>
      </w:r>
      <w:r>
        <w:rPr>
          <w:szCs w:val="21"/>
        </w:rPr>
        <w:t>和编制说明</w:t>
      </w:r>
      <w:r>
        <w:rPr>
          <w:rFonts w:hint="eastAsia"/>
          <w:szCs w:val="21"/>
        </w:rPr>
        <w:t>。</w:t>
      </w:r>
    </w:p>
    <w:p>
      <w:pPr>
        <w:ind w:firstLine="480"/>
        <w:rPr>
          <w:rFonts w:cs="Arial"/>
        </w:rPr>
      </w:pPr>
      <w:r>
        <w:rPr>
          <w:rFonts w:hint="eastAsia" w:cs="Arial"/>
        </w:rPr>
        <w:t>收到《征求意见稿》回函并有建议或意见的单位数：  个，包括各地农科院、西瓜推广技术中心、标准技术评审中心等；提出意见专家数量：  个。</w:t>
      </w:r>
    </w:p>
    <w:p>
      <w:pPr>
        <w:ind w:firstLine="480"/>
        <w:rPr>
          <w:rFonts w:cs="Arial"/>
        </w:rPr>
      </w:pPr>
      <w:r>
        <w:rPr>
          <w:rFonts w:hint="eastAsia" w:cs="Arial"/>
        </w:rPr>
        <w:t xml:space="preserve">征集到意见  条，其中同意采纳  条，占  </w:t>
      </w:r>
      <w:r>
        <w:rPr>
          <w:rFonts w:ascii="宋体" w:hAnsi="宋体" w:cs="宋体"/>
          <w:kern w:val="0"/>
          <w:lang w:bidi="ar"/>
        </w:rPr>
        <w:t>％</w:t>
      </w:r>
      <w:r>
        <w:rPr>
          <w:rFonts w:hint="eastAsia" w:cs="Arial"/>
        </w:rPr>
        <w:t xml:space="preserve">；未采纳  条，占  %；  条部分采纳，占  </w:t>
      </w:r>
      <w:r>
        <w:rPr>
          <w:rFonts w:ascii="宋体" w:hAnsi="宋体" w:cs="宋体"/>
          <w:kern w:val="0"/>
          <w:lang w:bidi="ar"/>
        </w:rPr>
        <w:t>％</w:t>
      </w:r>
      <w:r>
        <w:rPr>
          <w:rFonts w:hint="eastAsia" w:cs="Arial"/>
        </w:rPr>
        <w:t>，对未采纳和部分采纳者均在备注栏中均做了说明。</w:t>
      </w:r>
    </w:p>
    <w:p>
      <w:pPr>
        <w:ind w:firstLine="480"/>
        <w:rPr>
          <w:szCs w:val="21"/>
        </w:rPr>
      </w:pPr>
    </w:p>
    <w:p>
      <w:pPr>
        <w:ind w:firstLine="480"/>
        <w:rPr>
          <w:szCs w:val="21"/>
        </w:rPr>
      </w:pPr>
    </w:p>
    <w:p>
      <w:pPr>
        <w:pStyle w:val="5"/>
        <w:spacing w:before="163"/>
      </w:pPr>
      <w:r>
        <w:rPr>
          <w:rFonts w:hint="eastAsia"/>
        </w:rPr>
        <w:t>3. 审查阶段</w:t>
      </w:r>
    </w:p>
    <w:p>
      <w:pPr>
        <w:ind w:firstLine="480"/>
        <w:rPr>
          <w:szCs w:val="28"/>
          <w:highlight w:val="none"/>
        </w:rPr>
      </w:pPr>
      <w:r>
        <w:rPr>
          <w:szCs w:val="28"/>
          <w:highlight w:val="none"/>
        </w:rPr>
        <w:t>于</w:t>
      </w:r>
      <w:r>
        <w:rPr>
          <w:rFonts w:hint="eastAsia"/>
          <w:szCs w:val="21"/>
          <w:highlight w:val="none"/>
        </w:rPr>
        <w:t>2025年X月X日，北京农产品质量安全学会组织国内农业领域有关科研、检测、技术推广和标准管理专家，对团体标准《设施西瓜标准综合体》（送审稿）进行了审查。</w:t>
      </w:r>
      <w:r>
        <w:rPr>
          <w:szCs w:val="28"/>
          <w:highlight w:val="none"/>
        </w:rPr>
        <w:t>专家组由科研、管理、</w:t>
      </w:r>
      <w:r>
        <w:rPr>
          <w:rFonts w:hint="eastAsia"/>
          <w:szCs w:val="28"/>
          <w:highlight w:val="none"/>
        </w:rPr>
        <w:t>技术</w:t>
      </w:r>
      <w:r>
        <w:rPr>
          <w:szCs w:val="28"/>
          <w:highlight w:val="none"/>
        </w:rPr>
        <w:t>推广等领域</w:t>
      </w:r>
      <w:r>
        <w:rPr>
          <w:rFonts w:hint="eastAsia"/>
          <w:szCs w:val="28"/>
          <w:highlight w:val="none"/>
        </w:rPr>
        <w:t xml:space="preserve">  </w:t>
      </w:r>
      <w:r>
        <w:rPr>
          <w:szCs w:val="28"/>
          <w:highlight w:val="none"/>
        </w:rPr>
        <w:t>人组成。专家组在听取标准起草单位汇报的基础上，对标准送审稿进行了认真的</w:t>
      </w:r>
      <w:r>
        <w:rPr>
          <w:rFonts w:hint="eastAsia"/>
          <w:szCs w:val="28"/>
          <w:highlight w:val="none"/>
        </w:rPr>
        <w:t>审查、质询和充分</w:t>
      </w:r>
      <w:r>
        <w:rPr>
          <w:szCs w:val="28"/>
          <w:highlight w:val="none"/>
        </w:rPr>
        <w:t>讨论，形成如下审</w:t>
      </w:r>
      <w:r>
        <w:rPr>
          <w:rFonts w:hint="eastAsia"/>
          <w:szCs w:val="28"/>
          <w:highlight w:val="none"/>
        </w:rPr>
        <w:t>查</w:t>
      </w:r>
      <w:r>
        <w:rPr>
          <w:szCs w:val="28"/>
          <w:highlight w:val="none"/>
        </w:rPr>
        <w:t>意见：</w:t>
      </w:r>
    </w:p>
    <w:p>
      <w:pPr>
        <w:ind w:firstLine="480"/>
        <w:rPr>
          <w:szCs w:val="21"/>
        </w:rPr>
      </w:pPr>
      <w:r>
        <w:rPr>
          <w:rFonts w:hint="eastAsia"/>
          <w:szCs w:val="21"/>
          <w:highlight w:val="none"/>
        </w:rPr>
        <w:t>专家组建议XXX</w:t>
      </w:r>
      <w:r>
        <w:rPr>
          <w:rFonts w:hint="eastAsia"/>
          <w:szCs w:val="21"/>
        </w:rPr>
        <w:t>。其他修改意见详见《审查意见汇总表》。</w:t>
      </w:r>
    </w:p>
    <w:p>
      <w:pPr>
        <w:pStyle w:val="5"/>
        <w:spacing w:before="163"/>
      </w:pPr>
      <w:r>
        <w:rPr>
          <w:rFonts w:hint="eastAsia"/>
        </w:rPr>
        <w:t>4. 报批阶段</w:t>
      </w:r>
    </w:p>
    <w:p>
      <w:pPr>
        <w:ind w:firstLine="0" w:firstLineChars="0"/>
      </w:pPr>
    </w:p>
    <w:p>
      <w:pPr>
        <w:pStyle w:val="3"/>
        <w:spacing w:before="156"/>
      </w:pPr>
      <w:r>
        <w:rPr>
          <w:rFonts w:hint="eastAsia"/>
        </w:rPr>
        <w:t>二、标准编制原则、主要内容及确定依据</w:t>
      </w:r>
    </w:p>
    <w:p>
      <w:pPr>
        <w:pStyle w:val="4"/>
        <w:spacing w:before="163"/>
        <w:rPr>
          <w:rFonts w:eastAsia="宋体" w:cstheme="majorBidi"/>
          <w:szCs w:val="28"/>
        </w:rPr>
      </w:pPr>
      <w:r>
        <w:rPr>
          <w:rFonts w:hint="eastAsia" w:eastAsia="宋体" w:cstheme="majorBidi"/>
          <w:szCs w:val="28"/>
        </w:rPr>
        <w:t>（一）编制原则</w:t>
      </w:r>
    </w:p>
    <w:p>
      <w:pPr>
        <w:ind w:firstLine="480"/>
      </w:pPr>
      <w:r>
        <w:rPr>
          <w:rFonts w:hint="eastAsia"/>
        </w:rPr>
        <w:t>本标准综合体制定严格按照GB/T 1.1—2020《标准化工作导则第1部分：标准的结构和编写规则》，GB/T 1.2《标准化工作导则第2部分：标准中规范性技术要素内容的确定方法》要求进行。本标准的编制遵循“科学性、适应性、通用性、安全可靠性和可操作性”的原则。</w:t>
      </w:r>
    </w:p>
    <w:p>
      <w:pPr>
        <w:pStyle w:val="5"/>
        <w:numPr>
          <w:ilvl w:val="0"/>
          <w:numId w:val="3"/>
        </w:numPr>
        <w:spacing w:before="163"/>
        <w:ind w:firstLine="482" w:firstLineChars="200"/>
      </w:pPr>
      <w:r>
        <w:rPr>
          <w:rFonts w:hint="eastAsia"/>
        </w:rPr>
        <w:t>科学性原则</w:t>
      </w:r>
    </w:p>
    <w:p>
      <w:pPr>
        <w:ind w:firstLine="480"/>
      </w:pPr>
      <w:r>
        <w:rPr>
          <w:rFonts w:hint="eastAsia"/>
        </w:rPr>
        <w:t>本标准综合体起草过程中，首先进行了大量的调研，对国内现有西瓜标准、科研论文及西瓜农业生产的最新进展进行了梳理，广泛收集相关资料。同时对西瓜生产进行了充分的产业调研，在调研、分析和总结的基础上，构建了设施西瓜全产业链生产标准体系，编制了《设施西瓜标准综合体》初稿，同时与西瓜生产方面的专家进行研讨，修改和完善标准，理论与实际紧密结合，尽可能做到技术和实践上的科学性。</w:t>
      </w:r>
    </w:p>
    <w:p>
      <w:pPr>
        <w:pStyle w:val="5"/>
        <w:spacing w:before="163"/>
        <w:ind w:firstLine="482" w:firstLineChars="200"/>
      </w:pPr>
      <w:r>
        <w:rPr>
          <w:rFonts w:hint="eastAsia"/>
        </w:rPr>
        <w:t>2. 适应性原则</w:t>
      </w:r>
    </w:p>
    <w:p>
      <w:pPr>
        <w:ind w:firstLine="480"/>
      </w:pPr>
      <w:r>
        <w:rPr>
          <w:rFonts w:hint="eastAsia"/>
        </w:rPr>
        <w:t>《设施西瓜标准综合体》的制定，适应当前农业产业振兴、发展区域优势特色产业的方针政策和要求，且该项技术对当地农业增产、农民增收起到了积极的推动作用，能够在提高生产效益的同时兼顾社会效益和生态效益。</w:t>
      </w:r>
    </w:p>
    <w:p>
      <w:pPr>
        <w:pStyle w:val="5"/>
        <w:spacing w:before="163"/>
        <w:ind w:firstLine="482" w:firstLineChars="200"/>
      </w:pPr>
      <w:r>
        <w:rPr>
          <w:rFonts w:hint="eastAsia"/>
        </w:rPr>
        <w:t>3. 通用性原则</w:t>
      </w:r>
    </w:p>
    <w:p>
      <w:pPr>
        <w:ind w:firstLine="480"/>
      </w:pPr>
      <w:r>
        <w:rPr>
          <w:rFonts w:hint="eastAsia"/>
        </w:rPr>
        <w:t>本标准综合体制定引用了同产业（行业）的相关标准，并通过调研、立足现实生产需要，将目前国内设施西瓜生产的产地环境、种苗繁育、栽培管理、等级规格与包装、贮存与运输、质量控制相关内容进行提炼、总结、集成，因此该规程在具有相同的农业环境、气候条件区域均可使用，充分体现通用性原则。</w:t>
      </w:r>
    </w:p>
    <w:p>
      <w:pPr>
        <w:pStyle w:val="5"/>
        <w:spacing w:before="163"/>
        <w:ind w:firstLine="482" w:firstLineChars="200"/>
      </w:pPr>
      <w:r>
        <w:rPr>
          <w:rFonts w:hint="eastAsia"/>
        </w:rPr>
        <w:t>4. 安全可靠性原则</w:t>
      </w:r>
    </w:p>
    <w:p>
      <w:pPr>
        <w:ind w:firstLine="480"/>
      </w:pPr>
      <w:r>
        <w:rPr>
          <w:rFonts w:hint="eastAsia"/>
        </w:rPr>
        <w:t>本标准综合体对设施西瓜生产过程中的各生产环节做了详尽的说明和规范，引用了当前国内设施西瓜全程规范化生产中的主要技术标准，规范内容安全可靠。</w:t>
      </w:r>
    </w:p>
    <w:p>
      <w:pPr>
        <w:pStyle w:val="5"/>
        <w:spacing w:before="163"/>
        <w:ind w:firstLine="482" w:firstLineChars="200"/>
      </w:pPr>
      <w:r>
        <w:rPr>
          <w:rFonts w:hint="eastAsia"/>
        </w:rPr>
        <w:t>5. 可操作性原则</w:t>
      </w:r>
    </w:p>
    <w:p>
      <w:pPr>
        <w:ind w:firstLine="480"/>
        <w:rPr>
          <w:rFonts w:cs="Arial"/>
          <w:highlight w:val="lightGray"/>
        </w:rPr>
      </w:pPr>
      <w:r>
        <w:rPr>
          <w:rFonts w:hint="eastAsia"/>
        </w:rPr>
        <w:t>本标准综合体是在试验研究、技术总结和充分调查后严格制定的，内容通俗易懂、紧密联系生产实际，充分体现了可操作性原则。</w:t>
      </w:r>
    </w:p>
    <w:p>
      <w:pPr>
        <w:pStyle w:val="4"/>
        <w:spacing w:before="163"/>
        <w:rPr>
          <w:rFonts w:eastAsia="宋体" w:cs="Arial"/>
          <w:bCs w:val="0"/>
          <w:szCs w:val="24"/>
        </w:rPr>
      </w:pPr>
      <w:r>
        <w:rPr>
          <w:rFonts w:hint="eastAsia" w:eastAsia="宋体" w:cs="Arial"/>
          <w:bCs w:val="0"/>
          <w:szCs w:val="24"/>
        </w:rPr>
        <w:t>（二）主要内容及其确定依据</w:t>
      </w:r>
    </w:p>
    <w:p>
      <w:pPr>
        <w:ind w:firstLine="480"/>
        <w:rPr>
          <w:rFonts w:cs="Arial"/>
          <w:highlight w:val="yellow"/>
        </w:rPr>
      </w:pPr>
      <w:r>
        <w:rPr>
          <w:rFonts w:hint="eastAsia"/>
        </w:rPr>
        <w:t>项目组借鉴国内外先进标准，在所获资料和数据的基础上，反复斟酌，编制了《设施西瓜标准综合体》，主要包括</w:t>
      </w:r>
      <w:r>
        <w:rPr>
          <w:rFonts w:hint="eastAsia"/>
          <w:color w:val="000000" w:themeColor="text1"/>
          <w14:textFill>
            <w14:solidFill>
              <w14:schemeClr w14:val="tx1"/>
            </w14:solidFill>
          </w14:textFill>
        </w:rPr>
        <w:t>总则、</w:t>
      </w:r>
      <w:r>
        <w:rPr>
          <w:rFonts w:hint="eastAsia" w:eastAsiaTheme="minorEastAsia"/>
          <w:color w:val="000000" w:themeColor="text1"/>
          <w14:textFill>
            <w14:solidFill>
              <w14:schemeClr w14:val="tx1"/>
            </w14:solidFill>
          </w14:textFill>
        </w:rPr>
        <w:t>产地环境、</w:t>
      </w:r>
      <w:r>
        <w:rPr>
          <w:rFonts w:eastAsiaTheme="minorEastAsia"/>
          <w:color w:val="000000" w:themeColor="text1"/>
          <w14:textFill>
            <w14:solidFill>
              <w14:schemeClr w14:val="tx1"/>
            </w14:solidFill>
          </w14:textFill>
        </w:rPr>
        <w:t>种苗</w:t>
      </w:r>
      <w:r>
        <w:rPr>
          <w:rFonts w:hint="eastAsia" w:eastAsiaTheme="minorEastAsia"/>
          <w:color w:val="000000" w:themeColor="text1"/>
          <w14:textFill>
            <w14:solidFill>
              <w14:schemeClr w14:val="tx1"/>
            </w14:solidFill>
          </w14:textFill>
        </w:rPr>
        <w:t>繁育</w:t>
      </w:r>
      <w:r>
        <w:rPr>
          <w:rFonts w:hint="eastAsia"/>
          <w:color w:val="000000" w:themeColor="text1"/>
          <w14:textFill>
            <w14:solidFill>
              <w14:schemeClr w14:val="tx1"/>
            </w14:solidFill>
          </w14:textFill>
        </w:rPr>
        <w:t>、</w:t>
      </w:r>
      <w:r>
        <w:rPr>
          <w:rFonts w:hint="eastAsia" w:eastAsiaTheme="minorEastAsia"/>
          <w:color w:val="000000" w:themeColor="text1"/>
          <w14:textFill>
            <w14:solidFill>
              <w14:schemeClr w14:val="tx1"/>
            </w14:solidFill>
          </w14:textFill>
        </w:rPr>
        <w:t>栽培管理</w:t>
      </w:r>
      <w:r>
        <w:rPr>
          <w:rFonts w:hint="eastAsia"/>
          <w:color w:val="000000" w:themeColor="text1"/>
          <w14:textFill>
            <w14:solidFill>
              <w14:schemeClr w14:val="tx1"/>
            </w14:solidFill>
          </w14:textFill>
        </w:rPr>
        <w:t>、</w:t>
      </w:r>
      <w:r>
        <w:rPr>
          <w:rFonts w:hint="eastAsia" w:eastAsiaTheme="minorEastAsia"/>
          <w:color w:val="000000" w:themeColor="text1"/>
          <w14:textFill>
            <w14:solidFill>
              <w14:schemeClr w14:val="tx1"/>
            </w14:solidFill>
          </w14:textFill>
        </w:rPr>
        <w:t>等级规格与包装、贮存与运输</w:t>
      </w:r>
      <w:r>
        <w:rPr>
          <w:rFonts w:hint="eastAsia"/>
          <w:color w:val="000000" w:themeColor="text1"/>
          <w14:textFill>
            <w14:solidFill>
              <w14:schemeClr w14:val="tx1"/>
            </w14:solidFill>
          </w14:textFill>
        </w:rPr>
        <w:t>和</w:t>
      </w:r>
      <w:r>
        <w:rPr>
          <w:rFonts w:hint="eastAsia" w:eastAsiaTheme="minorEastAsia"/>
          <w:color w:val="000000" w:themeColor="text1"/>
          <w14:textFill>
            <w14:solidFill>
              <w14:schemeClr w14:val="tx1"/>
            </w14:solidFill>
          </w14:textFill>
        </w:rPr>
        <w:t>质量控制等</w:t>
      </w:r>
      <w:r>
        <w:rPr>
          <w:rFonts w:hint="eastAsia"/>
        </w:rPr>
        <w:t>7个部分</w:t>
      </w:r>
      <w:r>
        <w:rPr>
          <w:rFonts w:hint="eastAsia"/>
          <w:color w:val="000000" w:themeColor="text1"/>
          <w14:textFill>
            <w14:solidFill>
              <w14:schemeClr w14:val="tx1"/>
            </w14:solidFill>
          </w14:textFill>
        </w:rPr>
        <w:t>。</w:t>
      </w:r>
    </w:p>
    <w:p>
      <w:pPr>
        <w:spacing w:before="32" w:beforeLines="10" w:after="32" w:afterLines="10"/>
        <w:ind w:firstLine="472" w:firstLineChars="196"/>
        <w:rPr>
          <w:rFonts w:cs="Arial"/>
          <w:b/>
        </w:rPr>
      </w:pPr>
      <w:r>
        <w:rPr>
          <w:rFonts w:hint="eastAsia" w:cs="Arial"/>
          <w:b/>
        </w:rPr>
        <w:t>1. 范围</w:t>
      </w:r>
    </w:p>
    <w:p>
      <w:pPr>
        <w:pStyle w:val="5"/>
        <w:spacing w:before="163"/>
        <w:ind w:firstLine="480" w:firstLineChars="200"/>
        <w:rPr>
          <w:rFonts w:cs="Arial"/>
          <w:b w:val="0"/>
        </w:rPr>
      </w:pPr>
      <w:r>
        <w:rPr>
          <w:rFonts w:hint="eastAsia" w:cs="Arial"/>
          <w:b w:val="0"/>
        </w:rPr>
        <w:t>根据农业农村部发布的NY/T 4164—2022《现代农业全产业链标准化技术导则》内容，</w:t>
      </w:r>
      <w:r>
        <w:rPr>
          <w:rFonts w:hint="eastAsia"/>
          <w:b w:val="0"/>
        </w:rPr>
        <w:t>以种植业产品为对象的全产业链标准综合体，可包括产地环境、品种选育、投入品使用、田间管理、病虫害防治、产品采收、采后商品化处理、储运保鲜、生产加工、包装标识，废弃物资源化利用、产品质量、检测方法、品牌建设、休闲农业、社会化服务等标准。</w:t>
      </w:r>
      <w:r>
        <w:rPr>
          <w:rFonts w:hint="eastAsia" w:cs="Arial"/>
          <w:b w:val="0"/>
        </w:rPr>
        <w:t>因此，本文件规定了设施西瓜标准综合体的总则、产地环境、种苗繁育、栽培管理、等级规格与包装、贮存与运输和质量控制等全产业链管理的技术要求。本标准是在充分调研全国设施西瓜主产区并搜集整理相关资料文献的基础上编制而成，适用于农业企业、合作社、家庭农场等规模生产主体，开展设施西瓜生产与管理。</w:t>
      </w:r>
    </w:p>
    <w:p>
      <w:pPr>
        <w:spacing w:before="32" w:beforeLines="10" w:after="32" w:afterLines="10"/>
        <w:ind w:firstLine="472" w:firstLineChars="196"/>
        <w:rPr>
          <w:rFonts w:cs="Arial"/>
          <w:b/>
        </w:rPr>
      </w:pPr>
      <w:r>
        <w:rPr>
          <w:rFonts w:hint="eastAsia" w:cs="Arial"/>
          <w:b/>
        </w:rPr>
        <w:t>2. 规范性引用文件</w:t>
      </w:r>
    </w:p>
    <w:p>
      <w:pPr>
        <w:ind w:firstLine="480"/>
        <w:rPr>
          <w:rFonts w:cs="Arial"/>
        </w:rPr>
      </w:pPr>
      <w:r>
        <w:rPr>
          <w:rFonts w:hint="eastAsia" w:cs="Arial"/>
        </w:rPr>
        <w:t>根据本标准内容的规范需要，引用相应的标准，所引用的文件均为“现行有效”，且引用均符合GB/T 1.1—2020《标准化工作导则 第1部分：标准化文件的结构和起草规则》的要求。</w:t>
      </w:r>
    </w:p>
    <w:p>
      <w:pPr>
        <w:ind w:firstLine="480"/>
      </w:pPr>
      <w:r>
        <w:rPr>
          <w:rFonts w:hint="eastAsia" w:cs="Arial"/>
        </w:rPr>
        <w:t>主要包括总则、产地环境、田间管理、病虫害防治、等级规格与包装、质量控制等方面引用的文件。在</w:t>
      </w:r>
      <w:r>
        <w:rPr>
          <w:rFonts w:hint="eastAsia"/>
        </w:rPr>
        <w:t>3术语和定义</w:t>
      </w:r>
      <w:r>
        <w:rPr>
          <w:rFonts w:hint="eastAsia" w:cs="Arial"/>
        </w:rPr>
        <w:t>中引用了</w:t>
      </w:r>
      <w:r>
        <w:rPr>
          <w:rFonts w:hint="eastAsia"/>
        </w:rPr>
        <w:t>GB/T 12366</w:t>
      </w:r>
      <w:r>
        <w:rPr>
          <w:rFonts w:hint="eastAsia" w:cs="Arial"/>
        </w:rPr>
        <w:t>《</w:t>
      </w:r>
      <w:r>
        <w:t>综合标准化工作指南</w:t>
      </w:r>
      <w:r>
        <w:rPr>
          <w:rFonts w:hint="eastAsia"/>
        </w:rPr>
        <w:t>》；4.1基本要求</w:t>
      </w:r>
      <w:r>
        <w:rPr>
          <w:rFonts w:hint="eastAsia" w:cs="Arial"/>
        </w:rPr>
        <w:t>中引用了</w:t>
      </w:r>
      <w:r>
        <w:rPr>
          <w:rFonts w:hint="eastAsia"/>
        </w:rPr>
        <w:t>GB/T 12366</w:t>
      </w:r>
      <w:r>
        <w:rPr>
          <w:rFonts w:hint="eastAsia" w:cs="Arial"/>
        </w:rPr>
        <w:t>《</w:t>
      </w:r>
      <w:r>
        <w:t>综合标准化工作指南</w:t>
      </w:r>
      <w:r>
        <w:rPr>
          <w:rFonts w:hint="eastAsia"/>
        </w:rPr>
        <w:t>》、GB/T 31600 《</w:t>
      </w:r>
      <w:r>
        <w:t>农业综合标准化工作指南</w:t>
      </w:r>
      <w:r>
        <w:rPr>
          <w:rFonts w:hint="eastAsia"/>
        </w:rPr>
        <w:t>》和NY/T 4164《</w:t>
      </w:r>
      <w:r>
        <w:t>现代农业全产业链标准化技术导则</w:t>
      </w:r>
      <w:r>
        <w:rPr>
          <w:rFonts w:hint="eastAsia"/>
        </w:rPr>
        <w:t>》；5.1.1 基地选择中引用了GB 15618《土壤环境质量 农用地土壤污染风险管控标准》、GB 5084《田灌溉水质标准》、GB 3095《环境空气质量标准》、NY/T 2118《</w:t>
      </w:r>
      <w:r>
        <w:t>蔬菜育苗基质</w:t>
      </w:r>
      <w:r>
        <w:rPr>
          <w:rFonts w:hint="eastAsia"/>
        </w:rPr>
        <w:t>》；5.2 基地建设</w:t>
      </w:r>
      <w:r>
        <w:rPr>
          <w:rFonts w:hint="eastAsia" w:cs="Arial"/>
        </w:rPr>
        <w:t>中引用了</w:t>
      </w:r>
      <w:r>
        <w:rPr>
          <w:rFonts w:hint="eastAsia"/>
        </w:rPr>
        <w:t>JB/T 10594</w:t>
      </w:r>
      <w:r>
        <w:rPr>
          <w:rFonts w:hint="eastAsia" w:cs="Arial"/>
        </w:rPr>
        <w:t>《</w:t>
      </w:r>
      <w:r>
        <w:rPr>
          <w:rFonts w:hint="eastAsia"/>
        </w:rPr>
        <w:t>日光温室和塑料大棚结构与性能要求》、GB/T 4455《农业用聚乙烯吹塑棚膜》；6.2.1选种、晒种</w:t>
      </w:r>
      <w:r>
        <w:rPr>
          <w:rFonts w:hint="eastAsia" w:cs="Arial"/>
        </w:rPr>
        <w:t>中引用了</w:t>
      </w:r>
      <w:r>
        <w:rPr>
          <w:rFonts w:hint="eastAsia"/>
        </w:rPr>
        <w:t>GB 16715. 1</w:t>
      </w:r>
      <w:r>
        <w:rPr>
          <w:rFonts w:hint="eastAsia" w:cs="Arial"/>
        </w:rPr>
        <w:t>《</w:t>
      </w:r>
      <w:r>
        <w:t>瓜菜作物种子第1部分</w:t>
      </w:r>
      <w:r>
        <w:rPr>
          <w:rFonts w:hint="eastAsia"/>
        </w:rPr>
        <w:t>：</w:t>
      </w:r>
      <w:r>
        <w:t>瓜类</w:t>
      </w:r>
      <w:r>
        <w:rPr>
          <w:rFonts w:hint="eastAsia"/>
        </w:rPr>
        <w:t>》；6.4.3防治措施</w:t>
      </w:r>
      <w:r>
        <w:rPr>
          <w:rFonts w:hint="eastAsia" w:cs="Arial"/>
        </w:rPr>
        <w:t>中引用了</w:t>
      </w:r>
      <w:r>
        <w:t>GB/T 8321</w:t>
      </w:r>
      <w:r>
        <w:rPr>
          <w:rFonts w:hint="eastAsia"/>
        </w:rPr>
        <w:t xml:space="preserve"> （</w:t>
      </w:r>
      <w:r>
        <w:t>所有部分</w:t>
      </w:r>
      <w:r>
        <w:rPr>
          <w:rFonts w:hint="eastAsia"/>
        </w:rPr>
        <w:t>）</w:t>
      </w:r>
      <w:r>
        <w:rPr>
          <w:rFonts w:hint="eastAsia" w:cs="Arial"/>
        </w:rPr>
        <w:t>《</w:t>
      </w:r>
      <w:r>
        <w:t>农药合理使用准则</w:t>
      </w:r>
      <w:r>
        <w:rPr>
          <w:rFonts w:hint="eastAsia"/>
        </w:rPr>
        <w:t>》；7.3.4植株管理中</w:t>
      </w:r>
      <w:r>
        <w:rPr>
          <w:rFonts w:hint="eastAsia" w:cs="Arial"/>
        </w:rPr>
        <w:t>引用了DB11/T 887《设施西瓜蜜蜂授粉技术规范</w:t>
      </w:r>
      <w:r>
        <w:rPr>
          <w:rFonts w:hint="eastAsia"/>
        </w:rPr>
        <w:t>》；7.4.2 防治原则</w:t>
      </w:r>
      <w:r>
        <w:rPr>
          <w:rFonts w:hint="eastAsia" w:cs="Arial"/>
        </w:rPr>
        <w:t>中引用了</w:t>
      </w:r>
      <w:r>
        <w:rPr>
          <w:rFonts w:hint="eastAsia"/>
        </w:rPr>
        <w:t>GB/T 8321（</w:t>
      </w:r>
      <w:r>
        <w:t>所有部分</w:t>
      </w:r>
      <w:r>
        <w:rPr>
          <w:rFonts w:hint="eastAsia"/>
        </w:rPr>
        <w:t>）</w:t>
      </w:r>
      <w:r>
        <w:rPr>
          <w:rFonts w:hint="eastAsia" w:cs="Arial"/>
        </w:rPr>
        <w:t>《</w:t>
      </w:r>
      <w:r>
        <w:t>农药合理使用准则</w:t>
      </w:r>
      <w:r>
        <w:rPr>
          <w:rFonts w:hint="eastAsia"/>
        </w:rPr>
        <w:t>》、GB 12475《</w:t>
      </w:r>
      <w:r>
        <w:rPr>
          <w:rFonts w:hint="eastAsia" w:cs="宋体"/>
        </w:rPr>
        <w:t>农药贮运、销售和使用的防毒规程》、</w:t>
      </w:r>
      <w:r>
        <w:rPr>
          <w:rFonts w:hint="eastAsia"/>
        </w:rPr>
        <w:t>NY/T 393</w:t>
      </w:r>
      <w:r>
        <w:rPr>
          <w:rFonts w:hint="eastAsia" w:cs="宋体"/>
        </w:rPr>
        <w:t>《</w:t>
      </w:r>
      <w:r>
        <w:rPr>
          <w:rFonts w:hint="eastAsia" w:cs="宋体"/>
          <w:szCs w:val="21"/>
          <w:lang w:bidi="ar"/>
        </w:rPr>
        <w:t>绿色食品农药使用准则》、</w:t>
      </w:r>
      <w:r>
        <w:rPr>
          <w:rFonts w:hint="eastAsia"/>
        </w:rPr>
        <w:t>NY/T 1276</w:t>
      </w:r>
      <w:r>
        <w:rPr>
          <w:rFonts w:hint="eastAsia" w:cs="宋体"/>
          <w:szCs w:val="21"/>
          <w:lang w:bidi="ar"/>
        </w:rPr>
        <w:t>《</w:t>
      </w:r>
      <w:r>
        <w:rPr>
          <w:rFonts w:hint="eastAsia"/>
        </w:rPr>
        <w:t>农药安全使用规范 总则》；</w:t>
      </w:r>
      <w:r>
        <w:rPr>
          <w:rFonts w:hint="eastAsia" w:cs="Arial"/>
        </w:rPr>
        <w:t>8.1.3安全指标中引用了</w:t>
      </w:r>
      <w:r>
        <w:t>GB 2762</w:t>
      </w:r>
      <w:r>
        <w:rPr>
          <w:rFonts w:hint="eastAsia" w:cs="Arial"/>
        </w:rPr>
        <w:t>《</w:t>
      </w:r>
      <w:r>
        <w:rPr>
          <w:rFonts w:hint="eastAsia"/>
        </w:rPr>
        <w:t>食品安全国家标准</w:t>
      </w:r>
      <w:r>
        <w:t xml:space="preserve"> 食品中污染物限量</w:t>
      </w:r>
      <w:r>
        <w:rPr>
          <w:rFonts w:hint="eastAsia"/>
        </w:rPr>
        <w:t>》、</w:t>
      </w:r>
      <w:r>
        <w:t>GB 2763</w:t>
      </w:r>
      <w:r>
        <w:rPr>
          <w:rFonts w:hint="eastAsia" w:cs="Arial"/>
        </w:rPr>
        <w:t>《</w:t>
      </w:r>
      <w:r>
        <w:rPr>
          <w:rFonts w:hint="eastAsia"/>
        </w:rPr>
        <w:t>食品安全国家标准</w:t>
      </w:r>
      <w:r>
        <w:t xml:space="preserve"> 食品中农药最大残留限量</w:t>
      </w:r>
      <w:r>
        <w:rPr>
          <w:rFonts w:hint="eastAsia"/>
        </w:rPr>
        <w:t>》、GB 29921《食品安全国家标准</w:t>
      </w:r>
      <w:r>
        <w:t xml:space="preserve"> 预包装食品中致病菌限量</w:t>
      </w:r>
      <w:r>
        <w:rPr>
          <w:rFonts w:hint="eastAsia"/>
        </w:rPr>
        <w:t>》；</w:t>
      </w:r>
      <w:r>
        <w:rPr>
          <w:rFonts w:hint="eastAsia" w:cstheme="majorBidi"/>
          <w:szCs w:val="28"/>
        </w:rPr>
        <w:t>8.2.1可溶性固形物检测</w:t>
      </w:r>
      <w:r>
        <w:rPr>
          <w:rFonts w:hint="eastAsia" w:cs="Arial"/>
        </w:rPr>
        <w:t>中引用了</w:t>
      </w:r>
      <w:r>
        <w:rPr>
          <w:rFonts w:hint="eastAsia"/>
        </w:rPr>
        <w:t>GB</w:t>
      </w:r>
      <w:r>
        <w:t xml:space="preserve">/T </w:t>
      </w:r>
      <w:r>
        <w:rPr>
          <w:rFonts w:hint="eastAsia"/>
        </w:rPr>
        <w:t>121433</w:t>
      </w:r>
      <w:r>
        <w:rPr>
          <w:rFonts w:hint="eastAsia" w:cs="Arial"/>
        </w:rPr>
        <w:t>《</w:t>
      </w:r>
      <w:r>
        <w:rPr>
          <w:rFonts w:hint="eastAsia"/>
        </w:rPr>
        <w:t>饮料通用分析方法》；8.3.4规则中引用了NY/T 584《西瓜(含无子西瓜)》；8.4.1 包装中引用了GB 7718《食品安全国家标准</w:t>
      </w:r>
      <w:r>
        <w:t xml:space="preserve"> 预包装食品标签通则</w:t>
      </w:r>
      <w:r>
        <w:rPr>
          <w:rFonts w:hint="eastAsia"/>
        </w:rPr>
        <w:t>》、GB 9687《食品包装用聚乙烯成型品卫生标准》和GB 9693《食品包装用聚丙烯树脂卫生标准》；10.2.1 采购</w:t>
      </w:r>
      <w:r>
        <w:rPr>
          <w:rFonts w:hint="eastAsia" w:cs="Arial"/>
        </w:rPr>
        <w:t>中引用了</w:t>
      </w:r>
      <w:r>
        <w:rPr>
          <w:rFonts w:hint="eastAsia"/>
        </w:rPr>
        <w:t xml:space="preserve">GB 16715.1 </w:t>
      </w:r>
      <w:r>
        <w:rPr>
          <w:rFonts w:hint="eastAsia" w:cs="Arial"/>
        </w:rPr>
        <w:t>《</w:t>
      </w:r>
      <w:r>
        <w:t>瓜菜作物种子第1部分</w:t>
      </w:r>
      <w:r>
        <w:rPr>
          <w:rFonts w:hint="eastAsia"/>
        </w:rPr>
        <w:t>：</w:t>
      </w:r>
      <w:r>
        <w:t>瓜类</w:t>
      </w:r>
      <w:r>
        <w:rPr>
          <w:rFonts w:hint="eastAsia"/>
        </w:rPr>
        <w:t>》、GB 15569《农业植物调运检疫规程》；10.2.3使用</w:t>
      </w:r>
      <w:r>
        <w:rPr>
          <w:rFonts w:hint="eastAsia" w:cs="Arial"/>
        </w:rPr>
        <w:t>中引用了</w:t>
      </w:r>
      <w:r>
        <w:rPr>
          <w:rFonts w:hint="eastAsia"/>
        </w:rPr>
        <w:t>NY/T 1276</w:t>
      </w:r>
      <w:r>
        <w:rPr>
          <w:rFonts w:hint="eastAsia" w:cs="Arial"/>
        </w:rPr>
        <w:t>《</w:t>
      </w:r>
      <w:r>
        <w:rPr>
          <w:rFonts w:hint="eastAsia"/>
        </w:rPr>
        <w:t>农药安全使用规范 总则》、NY/T 496《农药安全使用规范 总则》。</w:t>
      </w:r>
    </w:p>
    <w:p>
      <w:pPr>
        <w:spacing w:before="32" w:beforeLines="10" w:after="32" w:afterLines="10"/>
        <w:ind w:firstLine="472" w:firstLineChars="196"/>
        <w:rPr>
          <w:rFonts w:cs="Arial"/>
          <w:b/>
        </w:rPr>
      </w:pPr>
      <w:r>
        <w:rPr>
          <w:rFonts w:hint="eastAsia" w:cs="Arial"/>
          <w:b/>
        </w:rPr>
        <w:t>3. 术语和定义</w:t>
      </w:r>
    </w:p>
    <w:p>
      <w:pPr>
        <w:ind w:firstLine="480"/>
      </w:pPr>
      <w:r>
        <w:rPr>
          <w:rFonts w:hint="eastAsia" w:cs="Arial"/>
        </w:rPr>
        <w:t>《综合标准化工作指南》（GB</w:t>
      </w:r>
      <w:r>
        <w:rPr>
          <w:rFonts w:cs="Arial"/>
        </w:rPr>
        <w:t xml:space="preserve">/T </w:t>
      </w:r>
      <w:r>
        <w:rPr>
          <w:rFonts w:hint="eastAsia"/>
        </w:rPr>
        <w:t>12366</w:t>
      </w:r>
      <w:r>
        <w:rPr>
          <w:rFonts w:hint="eastAsia" w:cs="Arial"/>
        </w:rPr>
        <w:t>）规定了农业、林业、畜牧业、渔业等领域内的农业生产、经营和服务的综合标准化工作方面有关的中英文术语。GB</w:t>
      </w:r>
      <w:r>
        <w:rPr>
          <w:rFonts w:cs="Arial"/>
        </w:rPr>
        <w:t xml:space="preserve">/T </w:t>
      </w:r>
      <w:r>
        <w:rPr>
          <w:rFonts w:hint="eastAsia"/>
        </w:rPr>
        <w:t>12366</w:t>
      </w:r>
      <w:r>
        <w:rPr>
          <w:rFonts w:hint="eastAsia" w:cs="Arial"/>
        </w:rPr>
        <w:t>中的相关术语适用于本标准，其中已准确描述的术语将不再列入本标准中。如GB</w:t>
      </w:r>
      <w:r>
        <w:rPr>
          <w:rFonts w:cs="Arial"/>
        </w:rPr>
        <w:t xml:space="preserve">/T </w:t>
      </w:r>
      <w:r>
        <w:rPr>
          <w:rFonts w:hint="eastAsia"/>
        </w:rPr>
        <w:t>12366</w:t>
      </w:r>
      <w:r>
        <w:rPr>
          <w:rFonts w:hint="eastAsia" w:cs="Arial"/>
        </w:rPr>
        <w:t>所述，农业标准综合体，即按农业综合标准化对象及其相关要素的内在联系和功能要求，运用系统理论和方法，以整体效益最佳为目标，所形成的相关指标协调优化、相互配合的成套标准。</w:t>
      </w:r>
    </w:p>
    <w:p>
      <w:pPr>
        <w:pStyle w:val="5"/>
        <w:numPr>
          <w:ilvl w:val="0"/>
          <w:numId w:val="4"/>
        </w:numPr>
        <w:spacing w:before="163"/>
        <w:ind w:firstLine="482" w:firstLineChars="200"/>
      </w:pPr>
      <w:r>
        <w:rPr>
          <w:rFonts w:hint="eastAsia"/>
        </w:rPr>
        <w:t>总则</w:t>
      </w:r>
    </w:p>
    <w:p>
      <w:pPr>
        <w:ind w:firstLine="480"/>
      </w:pPr>
      <w:r>
        <w:rPr>
          <w:rFonts w:hint="eastAsia"/>
        </w:rPr>
        <w:t>本部分主要规定了设施西瓜标准综合体的总体目标和相关要素，同时梳理出设施西瓜生产使用标准明细表。根据GB/T 13016—2008《标准体系构建原则和要求》，结合产业调研结果，最终确定设施西瓜标准综合体要素图中一级要素包括总则</w:t>
      </w:r>
      <w:r>
        <w:rPr>
          <w:rFonts w:hint="eastAsia"/>
          <w:color w:val="000000" w:themeColor="text1"/>
          <w14:textFill>
            <w14:solidFill>
              <w14:schemeClr w14:val="tx1"/>
            </w14:solidFill>
          </w14:textFill>
        </w:rPr>
        <w:t>、</w:t>
      </w:r>
      <w:r>
        <w:rPr>
          <w:rFonts w:hint="eastAsia" w:eastAsiaTheme="minorEastAsia"/>
          <w:color w:val="000000" w:themeColor="text1"/>
          <w14:textFill>
            <w14:solidFill>
              <w14:schemeClr w14:val="tx1"/>
            </w14:solidFill>
          </w14:textFill>
        </w:rPr>
        <w:t>产地环境、</w:t>
      </w:r>
      <w:r>
        <w:rPr>
          <w:rFonts w:eastAsiaTheme="minorEastAsia"/>
          <w:color w:val="000000" w:themeColor="text1"/>
          <w14:textFill>
            <w14:solidFill>
              <w14:schemeClr w14:val="tx1"/>
            </w14:solidFill>
          </w14:textFill>
        </w:rPr>
        <w:t>种苗</w:t>
      </w:r>
      <w:r>
        <w:rPr>
          <w:rFonts w:hint="eastAsia" w:eastAsiaTheme="minorEastAsia"/>
          <w:color w:val="000000" w:themeColor="text1"/>
          <w14:textFill>
            <w14:solidFill>
              <w14:schemeClr w14:val="tx1"/>
            </w14:solidFill>
          </w14:textFill>
        </w:rPr>
        <w:t>繁育</w:t>
      </w:r>
      <w:r>
        <w:rPr>
          <w:rFonts w:hint="eastAsia"/>
          <w:color w:val="000000" w:themeColor="text1"/>
          <w14:textFill>
            <w14:solidFill>
              <w14:schemeClr w14:val="tx1"/>
            </w14:solidFill>
          </w14:textFill>
        </w:rPr>
        <w:t>、</w:t>
      </w:r>
      <w:r>
        <w:rPr>
          <w:rFonts w:hint="eastAsia" w:eastAsiaTheme="minorEastAsia"/>
          <w:color w:val="000000" w:themeColor="text1"/>
          <w14:textFill>
            <w14:solidFill>
              <w14:schemeClr w14:val="tx1"/>
            </w14:solidFill>
          </w14:textFill>
        </w:rPr>
        <w:t>栽培管理</w:t>
      </w:r>
      <w:r>
        <w:rPr>
          <w:rFonts w:hint="eastAsia"/>
          <w:color w:val="000000" w:themeColor="text1"/>
          <w14:textFill>
            <w14:solidFill>
              <w14:schemeClr w14:val="tx1"/>
            </w14:solidFill>
          </w14:textFill>
        </w:rPr>
        <w:t>、</w:t>
      </w:r>
      <w:r>
        <w:rPr>
          <w:rFonts w:hint="eastAsia" w:eastAsiaTheme="minorEastAsia"/>
          <w:color w:val="000000" w:themeColor="text1"/>
          <w14:textFill>
            <w14:solidFill>
              <w14:schemeClr w14:val="tx1"/>
            </w14:solidFill>
          </w14:textFill>
        </w:rPr>
        <w:t>等级规格与包装、贮存与运输</w:t>
      </w:r>
      <w:r>
        <w:rPr>
          <w:rFonts w:hint="eastAsia"/>
          <w:color w:val="000000" w:themeColor="text1"/>
          <w14:textFill>
            <w14:solidFill>
              <w14:schemeClr w14:val="tx1"/>
            </w14:solidFill>
          </w14:textFill>
        </w:rPr>
        <w:t>和</w:t>
      </w:r>
      <w:r>
        <w:rPr>
          <w:rFonts w:hint="eastAsia" w:eastAsiaTheme="minorEastAsia"/>
          <w:color w:val="000000" w:themeColor="text1"/>
          <w14:textFill>
            <w14:solidFill>
              <w14:schemeClr w14:val="tx1"/>
            </w14:solidFill>
          </w14:textFill>
        </w:rPr>
        <w:t>质量控制</w:t>
      </w:r>
      <w:r>
        <w:rPr>
          <w:rFonts w:hint="eastAsia"/>
        </w:rPr>
        <w:t>等7个要素，二级要素包括基本要求、总体目标、相关要素、基地选择与规划、基地建设、生产基地环境条件监测、育苗前准备、催芽播种、苗床管理、苗期病虫害防治、种苗包装和运输、生产档案、定植前准备、定植、田间管理、病虫害防控、采收、等级规格要求、试验方法、抽样规则、标识和包装、贮存、运输、组织管理、农业投入品管理、废弃物管理、产品质量管理等27个要素，按照各相关要素性质、类别及其相互关系，确定了标准综合体的框架结构</w:t>
      </w:r>
      <w:r>
        <w:rPr>
          <w:rFonts w:hint="eastAsia"/>
          <w:lang w:eastAsia="zh-CN"/>
        </w:rPr>
        <w:t>（</w:t>
      </w:r>
      <w:r>
        <w:rPr>
          <w:rFonts w:hint="eastAsia"/>
          <w:lang w:val="en-US" w:eastAsia="zh-CN"/>
        </w:rPr>
        <w:t>图1</w:t>
      </w:r>
      <w:r>
        <w:rPr>
          <w:rFonts w:hint="eastAsia"/>
          <w:lang w:eastAsia="zh-CN"/>
        </w:rPr>
        <w:t>）</w:t>
      </w:r>
      <w:r>
        <w:rPr>
          <w:rFonts w:hint="eastAsia"/>
        </w:rPr>
        <w:t>。</w:t>
      </w:r>
    </w:p>
    <w:p>
      <w:pPr>
        <w:ind w:firstLine="0" w:firstLineChars="0"/>
        <w:rPr>
          <w:rFonts w:hint="eastAsia" w:ascii="Times New Roman" w:hAnsi="Times New Roman" w:eastAsia="宋体"/>
          <w:lang w:eastAsia="zh-CN"/>
        </w:rPr>
      </w:pPr>
      <w:r>
        <w:rPr>
          <w:rFonts w:hint="eastAsia" w:ascii="Times New Roman" w:hAnsi="Times New Roman" w:eastAsia="宋体"/>
          <w:lang w:eastAsia="zh-CN"/>
        </w:rPr>
        <w:drawing>
          <wp:inline distT="0" distB="0" distL="114300" distR="114300">
            <wp:extent cx="5262245" cy="1950720"/>
            <wp:effectExtent l="0" t="0" r="14605" b="11430"/>
            <wp:docPr id="3" name="图片 3"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1"/>
                    <pic:cNvPicPr>
                      <a:picLocks noChangeAspect="1"/>
                    </pic:cNvPicPr>
                  </pic:nvPicPr>
                  <pic:blipFill>
                    <a:blip r:embed="rId12"/>
                    <a:stretch>
                      <a:fillRect/>
                    </a:stretch>
                  </pic:blipFill>
                  <pic:spPr>
                    <a:xfrm>
                      <a:off x="0" y="0"/>
                      <a:ext cx="5262245" cy="1950720"/>
                    </a:xfrm>
                    <a:prstGeom prst="rect">
                      <a:avLst/>
                    </a:prstGeom>
                  </pic:spPr>
                </pic:pic>
              </a:graphicData>
            </a:graphic>
          </wp:inline>
        </w:drawing>
      </w:r>
    </w:p>
    <w:p>
      <w:pPr>
        <w:ind w:firstLine="0" w:firstLineChars="0"/>
        <w:jc w:val="center"/>
        <w:rPr>
          <w:rFonts w:hint="eastAsia" w:ascii="Times New Roman" w:hAnsi="Times New Roman"/>
        </w:rPr>
      </w:pPr>
      <w:r>
        <w:rPr>
          <w:rFonts w:hint="eastAsia" w:ascii="Times New Roman" w:hAnsi="Times New Roman"/>
        </w:rPr>
        <w:t>图1 设施西瓜标准综合体相关要素图</w:t>
      </w:r>
    </w:p>
    <w:p>
      <w:pPr>
        <w:pStyle w:val="5"/>
        <w:numPr>
          <w:ilvl w:val="0"/>
          <w:numId w:val="4"/>
        </w:numPr>
        <w:spacing w:before="163"/>
        <w:ind w:firstLine="482" w:firstLineChars="200"/>
      </w:pPr>
      <w:r>
        <w:rPr>
          <w:rFonts w:hint="eastAsia"/>
        </w:rPr>
        <w:t>产地环境</w:t>
      </w:r>
    </w:p>
    <w:p>
      <w:pPr>
        <w:ind w:firstLine="480"/>
      </w:pPr>
      <w:r>
        <w:rPr>
          <w:rFonts w:hint="eastAsia"/>
        </w:rPr>
        <w:t>本部分规范了设施西瓜</w:t>
      </w:r>
      <w:r>
        <w:rPr>
          <w:rFonts w:hint="eastAsia" w:cstheme="majorBidi"/>
          <w:szCs w:val="28"/>
        </w:rPr>
        <w:t>基地选择与规划</w:t>
      </w:r>
      <w:r>
        <w:rPr>
          <w:rFonts w:hint="eastAsia"/>
        </w:rPr>
        <w:t>、</w:t>
      </w:r>
      <w:r>
        <w:rPr>
          <w:rFonts w:hint="eastAsia" w:cstheme="majorBidi"/>
          <w:szCs w:val="28"/>
        </w:rPr>
        <w:t>基地建设</w:t>
      </w:r>
      <w:r>
        <w:rPr>
          <w:rFonts w:hint="eastAsia"/>
        </w:rPr>
        <w:t>及</w:t>
      </w:r>
      <w:r>
        <w:rPr>
          <w:rFonts w:hint="eastAsia" w:cstheme="majorBidi"/>
          <w:szCs w:val="28"/>
        </w:rPr>
        <w:t>生产基地环境条件监测</w:t>
      </w:r>
      <w:r>
        <w:rPr>
          <w:rFonts w:hint="eastAsia"/>
        </w:rPr>
        <w:t>等相关要求，</w:t>
      </w:r>
      <w:r>
        <w:rPr>
          <w:rFonts w:ascii="Segoe UI" w:hAnsi="Segoe UI" w:eastAsia="Segoe UI" w:cs="Segoe UI"/>
          <w:shd w:val="clear" w:color="auto" w:fill="FFFFFF"/>
        </w:rPr>
        <w:t>西瓜产地环境至关重要，它对西瓜的品质、产量、病虫害发生情况以及产业的可持续发展等方面都有着</w:t>
      </w:r>
      <w:r>
        <w:rPr>
          <w:rFonts w:hint="eastAsia" w:ascii="Segoe UI" w:hAnsi="Segoe UI" w:cs="Segoe UI"/>
          <w:shd w:val="clear" w:color="auto" w:fill="FFFFFF"/>
        </w:rPr>
        <w:t>重要</w:t>
      </w:r>
      <w:r>
        <w:rPr>
          <w:rFonts w:ascii="Segoe UI" w:hAnsi="Segoe UI" w:eastAsia="Segoe UI" w:cs="Segoe UI"/>
          <w:shd w:val="clear" w:color="auto" w:fill="FFFFFF"/>
        </w:rPr>
        <w:t>影响</w:t>
      </w:r>
      <w:r>
        <w:rPr>
          <w:rFonts w:hint="eastAsia"/>
        </w:rPr>
        <w:t>。影响西瓜品质的环境条件包括土壤、光照、温度、水分等，其中</w:t>
      </w:r>
      <w:r>
        <w:rPr>
          <w:rFonts w:ascii="Segoe UI" w:hAnsi="Segoe UI" w:eastAsia="Segoe UI" w:cs="Segoe UI"/>
          <w:shd w:val="clear" w:color="auto" w:fill="FFFFFF"/>
        </w:rPr>
        <w:t>沙壤土透气性好，有利于西瓜根系生长和糖分积累，能使西瓜口感更甜、肉质更脆</w:t>
      </w:r>
      <w:r>
        <w:rPr>
          <w:rFonts w:hint="eastAsia" w:ascii="Segoe UI" w:hAnsi="Segoe UI" w:cs="Segoe UI"/>
          <w:shd w:val="clear" w:color="auto" w:fill="FFFFFF"/>
        </w:rPr>
        <w:t>；</w:t>
      </w:r>
      <w:r>
        <w:rPr>
          <w:rFonts w:ascii="Segoe UI" w:hAnsi="Segoe UI" w:eastAsia="Segoe UI" w:cs="Segoe UI"/>
          <w:shd w:val="clear" w:color="auto" w:fill="FFFFFF"/>
        </w:rPr>
        <w:t>充足的光照能使西瓜植株充分进行光合作用，合成更多的糖分和有机物质，从而提高西瓜的甜度和口感</w:t>
      </w:r>
      <w:r>
        <w:rPr>
          <w:rFonts w:hint="eastAsia" w:ascii="Segoe UI" w:hAnsi="Segoe UI" w:cs="Segoe UI"/>
          <w:shd w:val="clear" w:color="auto" w:fill="FFFFFF"/>
        </w:rPr>
        <w:t>；</w:t>
      </w:r>
      <w:r>
        <w:rPr>
          <w:rFonts w:ascii="Segoe UI" w:hAnsi="Segoe UI" w:eastAsia="Segoe UI" w:cs="Segoe UI"/>
          <w:shd w:val="clear" w:color="auto" w:fill="FFFFFF"/>
        </w:rPr>
        <w:t>西瓜是喜温作物，对温度要求较高。适宜的温度范围有利于西瓜的生长发育和果实成熟</w:t>
      </w:r>
      <w:r>
        <w:rPr>
          <w:rFonts w:hint="eastAsia" w:ascii="Segoe UI" w:hAnsi="Segoe UI" w:cs="Segoe UI"/>
          <w:shd w:val="clear" w:color="auto" w:fill="FFFFFF"/>
        </w:rPr>
        <w:t>；</w:t>
      </w:r>
      <w:r>
        <w:rPr>
          <w:rFonts w:ascii="Segoe UI" w:hAnsi="Segoe UI" w:eastAsia="Segoe UI" w:cs="Segoe UI"/>
          <w:shd w:val="clear" w:color="auto" w:fill="FFFFFF"/>
        </w:rPr>
        <w:t>水分是西瓜生长不可或缺的因素</w:t>
      </w:r>
      <w:r>
        <w:rPr>
          <w:rFonts w:hint="eastAsia" w:ascii="Segoe UI" w:hAnsi="Segoe UI" w:cs="Segoe UI"/>
          <w:shd w:val="clear" w:color="auto" w:fill="FFFFFF"/>
        </w:rPr>
        <w:t>，</w:t>
      </w:r>
      <w:r>
        <w:rPr>
          <w:rFonts w:ascii="Segoe UI" w:hAnsi="Segoe UI" w:eastAsia="Segoe UI" w:cs="Segoe UI"/>
          <w:shd w:val="clear" w:color="auto" w:fill="FFFFFF"/>
        </w:rPr>
        <w:t>西瓜生长前期需要充足的水分来保证植株的生长和发育，但在果实成熟期，适度的控水有利于西瓜糖分的积累。</w:t>
      </w:r>
      <w:r>
        <w:rPr>
          <w:rFonts w:hint="eastAsia" w:ascii="Segoe UI" w:hAnsi="Segoe UI" w:cs="Segoe UI"/>
          <w:shd w:val="clear" w:color="auto" w:fill="FFFFFF"/>
        </w:rPr>
        <w:t>此外，</w:t>
      </w:r>
      <w:r>
        <w:rPr>
          <w:rFonts w:ascii="Segoe UI" w:hAnsi="Segoe UI" w:eastAsia="Segoe UI" w:cs="Segoe UI"/>
          <w:shd w:val="clear" w:color="auto" w:fill="FFFFFF"/>
        </w:rPr>
        <w:t>产地的降水情况和灌溉条件会直接影响西瓜的水分供应，若水分过多，可能导致西瓜甜度降低、口感变差，甚至引发病虫害</w:t>
      </w:r>
      <w:r>
        <w:rPr>
          <w:rFonts w:hint="eastAsia" w:ascii="Segoe UI" w:hAnsi="Segoe UI" w:cs="Segoe UI"/>
          <w:shd w:val="clear" w:color="auto" w:fill="FFFFFF"/>
        </w:rPr>
        <w:t>。</w:t>
      </w:r>
      <w:r>
        <w:rPr>
          <w:rFonts w:ascii="Segoe UI" w:hAnsi="Segoe UI" w:eastAsia="Segoe UI" w:cs="Segoe UI"/>
          <w:shd w:val="clear" w:color="auto" w:fill="FFFFFF"/>
        </w:rPr>
        <w:t>若水分不足，西瓜则可能生长不良，果实变小。</w:t>
      </w:r>
      <w:r>
        <w:rPr>
          <w:rFonts w:hint="eastAsia" w:ascii="Segoe UI" w:hAnsi="Segoe UI" w:cs="Segoe UI"/>
          <w:shd w:val="clear" w:color="auto" w:fill="FFFFFF"/>
        </w:rPr>
        <w:t>因此，条</w:t>
      </w:r>
      <w:r>
        <w:rPr>
          <w:rFonts w:hint="eastAsia"/>
        </w:rPr>
        <w:t>5.1.1规定了地势条件，宜选择光照条件好、地势高燥，排灌方便的地区，以保证适宜的产地环境。</w:t>
      </w:r>
    </w:p>
    <w:p>
      <w:pPr>
        <w:ind w:firstLine="480"/>
        <w:rPr>
          <w:rFonts w:cs="Arial"/>
        </w:rPr>
      </w:pPr>
      <w:r>
        <w:rPr>
          <w:rFonts w:hint="eastAsia" w:cs="Arial"/>
        </w:rPr>
        <w:t>为避免重金属污染和空气污染等，生产基地的土壤、灌溉用水和大气环境需满足一定的要求。</w:t>
      </w:r>
      <w:r>
        <w:rPr>
          <w:rFonts w:hint="eastAsia" w:ascii="Segoe UI" w:hAnsi="Segoe UI" w:cs="Segoe UI"/>
          <w:shd w:val="clear" w:color="auto" w:fill="FFFFFF"/>
        </w:rPr>
        <w:t>条</w:t>
      </w:r>
      <w:r>
        <w:rPr>
          <w:rFonts w:hint="eastAsia"/>
        </w:rPr>
        <w:t>5.1.2、5.1.3、5.1.4则分别规定了土壤、水质和大气要求，</w:t>
      </w:r>
      <w:r>
        <w:rPr>
          <w:rFonts w:hint="eastAsia" w:cs="Arial"/>
        </w:rPr>
        <w:t>标准中引用了国家标准</w:t>
      </w:r>
      <w:r>
        <w:rPr>
          <w:rFonts w:hint="eastAsia"/>
        </w:rPr>
        <w:t>GB 15618</w:t>
      </w:r>
      <w:r>
        <w:rPr>
          <w:rFonts w:hint="eastAsia" w:cs="Arial"/>
        </w:rPr>
        <w:t>《土壤环境质量 农用地土壤污染风险管控标准》，要求土壤应符合 GB 15618要求。并在</w:t>
      </w:r>
      <w:r>
        <w:rPr>
          <w:rFonts w:hint="eastAsia"/>
        </w:rPr>
        <w:t>附录A中列出了具体的指标及标准值。对于基质栽培的西瓜，则</w:t>
      </w:r>
      <w:r>
        <w:rPr>
          <w:rFonts w:hint="eastAsia" w:cs="Arial"/>
        </w:rPr>
        <w:t>应符合</w:t>
      </w:r>
      <w:r>
        <w:t>NY/T</w:t>
      </w:r>
      <w:r>
        <w:rPr>
          <w:rFonts w:hint="eastAsia"/>
        </w:rPr>
        <w:t xml:space="preserve"> </w:t>
      </w:r>
      <w:r>
        <w:t>2118</w:t>
      </w:r>
      <w:r>
        <w:rPr>
          <w:rFonts w:hint="eastAsia" w:cs="Arial"/>
        </w:rPr>
        <w:t>《</w:t>
      </w:r>
      <w:r>
        <w:t>蔬菜育苗基质</w:t>
      </w:r>
      <w:r>
        <w:rPr>
          <w:rFonts w:hint="eastAsia" w:cs="Arial"/>
        </w:rPr>
        <w:t>要求》中的规定；要求灌溉用水水质应符合 GB 5084中对蔬菜作物的要求；引用了国家标准GB 3095《环境空气质量标准》，要求大气环境应符合GB 3095中对二类环境空气功能区的要求。</w:t>
      </w:r>
    </w:p>
    <w:p>
      <w:pPr>
        <w:ind w:firstLine="480"/>
      </w:pPr>
      <w:r>
        <w:rPr>
          <w:rFonts w:hint="eastAsia"/>
        </w:rPr>
        <w:t>条5.1.5规定了种植前应对基地环境进行调查、评估以及记录的内容。</w:t>
      </w:r>
      <w:r>
        <w:rPr>
          <w:rFonts w:hint="eastAsia" w:cs="Arial"/>
        </w:rPr>
        <w:t>为了提供西瓜生长适宜的条件，预防病虫害的发生，需要了解</w:t>
      </w:r>
      <w:r>
        <w:rPr>
          <w:rFonts w:hint="eastAsia"/>
        </w:rPr>
        <w:t>前茬种植作物及种植方式情况；为了保障西瓜质量安全，控制有害物质，需要对种植基地历史使用情况以及重金属、化学农药（特别是长残留农药）的残留程度进行调查评估；此外，为了便于追溯和质量管控，种植前应对基地环境调查评估内容进行记录。</w:t>
      </w:r>
    </w:p>
    <w:p>
      <w:pPr>
        <w:ind w:firstLine="480"/>
        <w:rPr>
          <w:rFonts w:ascii="Segoe UI" w:hAnsi="Segoe UI" w:cs="Segoe UI"/>
          <w:shd w:val="clear" w:color="auto" w:fill="FFFFFF"/>
        </w:rPr>
      </w:pPr>
      <w:r>
        <w:rPr>
          <w:rFonts w:hint="eastAsia"/>
        </w:rPr>
        <w:t>条5.2.1对生产设施进行了规定，根据环境条件、西瓜品种和栽培方式，需要配备相应的生产设施</w:t>
      </w:r>
      <w:r>
        <w:rPr>
          <w:rFonts w:ascii="Segoe UI" w:hAnsi="Segoe UI" w:eastAsia="Segoe UI" w:cs="Segoe UI"/>
          <w:shd w:val="clear" w:color="auto" w:fill="FFFFFF"/>
        </w:rPr>
        <w:t>。</w:t>
      </w:r>
      <w:r>
        <w:rPr>
          <w:rFonts w:hint="eastAsia" w:ascii="Segoe UI" w:hAnsi="Segoe UI" w:cs="Segoe UI"/>
          <w:shd w:val="clear" w:color="auto" w:fill="FFFFFF"/>
        </w:rPr>
        <w:t>合适的</w:t>
      </w:r>
      <w:r>
        <w:rPr>
          <w:rFonts w:hint="eastAsia"/>
        </w:rPr>
        <w:t>日光温室和塑料大棚</w:t>
      </w:r>
      <w:r>
        <w:rPr>
          <w:rFonts w:ascii="Segoe UI" w:hAnsi="Segoe UI" w:eastAsia="Segoe UI" w:cs="Segoe UI"/>
          <w:shd w:val="clear" w:color="auto" w:fill="FFFFFF"/>
        </w:rPr>
        <w:t>能够有效调节西瓜生长环境，提高水资源利用率</w:t>
      </w:r>
      <w:r>
        <w:rPr>
          <w:rFonts w:hint="eastAsia" w:ascii="Segoe UI" w:hAnsi="Segoe UI" w:cs="Segoe UI"/>
          <w:shd w:val="clear" w:color="auto" w:fill="FFFFFF"/>
        </w:rPr>
        <w:t>，</w:t>
      </w:r>
      <w:r>
        <w:rPr>
          <w:rFonts w:ascii="Segoe UI" w:hAnsi="Segoe UI" w:eastAsia="Segoe UI" w:cs="Segoe UI"/>
          <w:shd w:val="clear" w:color="auto" w:fill="FFFFFF"/>
        </w:rPr>
        <w:t>为西瓜生长创造更有利的条件，进而显著提高产量和品质。</w:t>
      </w:r>
      <w:r>
        <w:rPr>
          <w:rFonts w:hint="eastAsia" w:ascii="Segoe UI" w:hAnsi="Segoe UI" w:cs="Segoe UI"/>
          <w:shd w:val="clear" w:color="auto" w:fill="FFFFFF"/>
        </w:rPr>
        <w:t>其中，</w:t>
      </w:r>
      <w:r>
        <w:rPr>
          <w:rFonts w:hint="eastAsia"/>
        </w:rPr>
        <w:t>日光温室和塑料大棚的结构与性能应符合JB/T 10594《日光温室和塑料大棚结构与性能要求》的要求，塑料棚膜应符合GB/T 4455《农业用聚乙烯吹塑棚膜》中的要求。</w:t>
      </w:r>
    </w:p>
    <w:p>
      <w:pPr>
        <w:ind w:firstLine="480"/>
        <w:rPr>
          <w:rFonts w:ascii="Segoe UI" w:hAnsi="Segoe UI" w:cs="Segoe UI"/>
          <w:shd w:val="clear" w:color="auto" w:fill="FFFFFF"/>
        </w:rPr>
      </w:pPr>
      <w:r>
        <w:rPr>
          <w:rFonts w:hint="eastAsia" w:cs="Arial"/>
        </w:rPr>
        <w:t>生产场地应合理布局，</w:t>
      </w:r>
      <w:r>
        <w:rPr>
          <w:rFonts w:hint="eastAsia"/>
        </w:rPr>
        <w:t>在进行西瓜基地建设时，需综合多方面因素来完善各项设施规划，</w:t>
      </w:r>
      <w:r>
        <w:rPr>
          <w:rFonts w:hint="eastAsia" w:cs="Arial"/>
        </w:rPr>
        <w:t>按各个环节对整个场地进行功能区划分</w:t>
      </w:r>
      <w:r>
        <w:rPr>
          <w:rFonts w:hint="eastAsia"/>
        </w:rPr>
        <w:t>。条</w:t>
      </w:r>
      <w:r>
        <w:rPr>
          <w:rFonts w:eastAsia="Segoe UI"/>
          <w:shd w:val="clear" w:color="auto" w:fill="FFFFFF"/>
        </w:rPr>
        <w:t>5.2.2</w:t>
      </w:r>
      <w:r>
        <w:rPr>
          <w:rFonts w:hint="eastAsia" w:eastAsia="Segoe UI"/>
          <w:shd w:val="clear" w:color="auto" w:fill="FFFFFF"/>
        </w:rPr>
        <w:t>对</w:t>
      </w:r>
      <w:r>
        <w:rPr>
          <w:rFonts w:hint="eastAsia" w:ascii="Segoe UI" w:hAnsi="Segoe UI" w:eastAsia="Segoe UI" w:cs="Segoe UI"/>
          <w:shd w:val="clear" w:color="auto" w:fill="FFFFFF"/>
        </w:rPr>
        <w:t>经营规模、地形、作业区、道路网与排灌系统、仓库等</w:t>
      </w:r>
      <w:r>
        <w:rPr>
          <w:rFonts w:ascii="Segoe UI" w:hAnsi="Segoe UI" w:eastAsia="Segoe UI" w:cs="Segoe UI"/>
          <w:shd w:val="clear" w:color="auto" w:fill="FFFFFF"/>
        </w:rPr>
        <w:t>不同功能区域规划</w:t>
      </w:r>
      <w:r>
        <w:rPr>
          <w:rFonts w:hint="eastAsia" w:ascii="Segoe UI" w:hAnsi="Segoe UI" w:cs="Segoe UI"/>
          <w:shd w:val="clear" w:color="auto" w:fill="FFFFFF"/>
        </w:rPr>
        <w:t>进行了规定，以保障设施的完备性。为了</w:t>
      </w:r>
      <w:r>
        <w:rPr>
          <w:rStyle w:val="16"/>
          <w:rFonts w:ascii="Segoe UI" w:hAnsi="Segoe UI" w:eastAsia="Segoe UI" w:cs="Segoe UI"/>
          <w:b w:val="0"/>
          <w:shd w:val="clear" w:color="auto" w:fill="FFFFFF"/>
        </w:rPr>
        <w:t>优化生长环境</w:t>
      </w:r>
      <w:r>
        <w:rPr>
          <w:rStyle w:val="16"/>
          <w:rFonts w:hint="eastAsia" w:ascii="Segoe UI" w:hAnsi="Segoe UI" w:cs="Segoe UI"/>
          <w:b w:val="0"/>
          <w:shd w:val="clear" w:color="auto" w:fill="FFFFFF"/>
        </w:rPr>
        <w:t>、</w:t>
      </w:r>
      <w:r>
        <w:rPr>
          <w:rStyle w:val="16"/>
          <w:rFonts w:ascii="Segoe UI" w:hAnsi="Segoe UI" w:eastAsia="Segoe UI" w:cs="Segoe UI"/>
          <w:b w:val="0"/>
          <w:shd w:val="clear" w:color="auto" w:fill="FFFFFF"/>
        </w:rPr>
        <w:t>预防病虫害</w:t>
      </w:r>
      <w:r>
        <w:rPr>
          <w:rStyle w:val="16"/>
          <w:rFonts w:hint="eastAsia" w:ascii="Segoe UI" w:hAnsi="Segoe UI" w:cs="Segoe UI"/>
          <w:b w:val="0"/>
          <w:shd w:val="clear" w:color="auto" w:fill="FFFFFF"/>
        </w:rPr>
        <w:t>的发生，同时确保生产安全与可持续发展，有必要对</w:t>
      </w:r>
      <w:r>
        <w:rPr>
          <w:rFonts w:hint="eastAsia" w:cstheme="majorBidi"/>
          <w:szCs w:val="28"/>
        </w:rPr>
        <w:t>生产基地环境条件进行定时监测，</w:t>
      </w:r>
      <w:r>
        <w:rPr>
          <w:rFonts w:hint="eastAsia"/>
        </w:rPr>
        <w:t>条</w:t>
      </w:r>
      <w:r>
        <w:rPr>
          <w:rFonts w:eastAsia="Segoe UI"/>
          <w:shd w:val="clear" w:color="auto" w:fill="FFFFFF"/>
        </w:rPr>
        <w:t>5.2.</w:t>
      </w:r>
      <w:r>
        <w:rPr>
          <w:rFonts w:hint="eastAsia" w:eastAsia="Segoe UI"/>
          <w:shd w:val="clear" w:color="auto" w:fill="FFFFFF"/>
        </w:rPr>
        <w:t>3对</w:t>
      </w:r>
      <w:r>
        <w:rPr>
          <w:rFonts w:hint="eastAsia" w:cstheme="majorBidi"/>
          <w:szCs w:val="28"/>
        </w:rPr>
        <w:t>生产基地环境条件监测进行了明确规定。</w:t>
      </w:r>
    </w:p>
    <w:p>
      <w:pPr>
        <w:pStyle w:val="5"/>
        <w:numPr>
          <w:ilvl w:val="0"/>
          <w:numId w:val="4"/>
        </w:numPr>
        <w:spacing w:before="163"/>
        <w:ind w:firstLine="482" w:firstLineChars="200"/>
      </w:pPr>
      <w:r>
        <w:rPr>
          <w:rFonts w:hint="eastAsia"/>
        </w:rPr>
        <w:t>种苗繁育</w:t>
      </w:r>
    </w:p>
    <w:p>
      <w:pPr>
        <w:ind w:firstLine="480"/>
      </w:pPr>
      <w:r>
        <w:rPr>
          <w:rFonts w:hint="eastAsia"/>
        </w:rPr>
        <w:t>本部分规范了西瓜种苗繁育的育苗前准备、催芽播种、苗床管理、苗期病虫害防治、种苗包装和运输、生产档案。</w:t>
      </w:r>
    </w:p>
    <w:p>
      <w:pPr>
        <w:ind w:firstLine="480"/>
        <w:rPr>
          <w:rFonts w:ascii="Segoe UI" w:hAnsi="Segoe UI" w:cs="Segoe UI"/>
          <w:shd w:val="clear" w:color="auto" w:fill="FFFFFF"/>
        </w:rPr>
      </w:pPr>
      <w:r>
        <w:rPr>
          <w:rFonts w:hint="eastAsia"/>
        </w:rPr>
        <w:t>条6.1从设施条件、育苗基质、苗床准备3个方面对育苗前准备进行了规定。其中，条6.1.1包括对环境条件和育苗设施的要求，不</w:t>
      </w:r>
      <w:r>
        <w:rPr>
          <w:rFonts w:ascii="Segoe UI" w:hAnsi="Segoe UI" w:eastAsia="Segoe UI" w:cs="Segoe UI"/>
          <w:shd w:val="clear" w:color="auto" w:fill="FFFFFF"/>
        </w:rPr>
        <w:t>同的育苗阶段对温度</w:t>
      </w:r>
      <w:r>
        <w:rPr>
          <w:rFonts w:hint="eastAsia" w:ascii="Segoe UI" w:hAnsi="Segoe UI" w:cs="Segoe UI"/>
          <w:shd w:val="clear" w:color="auto" w:fill="FFFFFF"/>
        </w:rPr>
        <w:t>、光照、水分等</w:t>
      </w:r>
      <w:r>
        <w:rPr>
          <w:rFonts w:ascii="Segoe UI" w:hAnsi="Segoe UI" w:eastAsia="Segoe UI" w:cs="Segoe UI"/>
          <w:shd w:val="clear" w:color="auto" w:fill="FFFFFF"/>
        </w:rPr>
        <w:t>要求有所不同</w:t>
      </w:r>
      <w:r>
        <w:rPr>
          <w:rFonts w:hint="eastAsia" w:ascii="Segoe UI" w:hAnsi="Segoe UI" w:cs="Segoe UI"/>
          <w:shd w:val="clear" w:color="auto" w:fill="FFFFFF"/>
        </w:rPr>
        <w:t>，因此需要环境条件适宜，且</w:t>
      </w:r>
      <w:r>
        <w:t>设施设备齐全</w:t>
      </w:r>
      <w:r>
        <w:rPr>
          <w:rFonts w:hint="eastAsia"/>
        </w:rPr>
        <w:t>；条6.1.2对育苗基质进行了规定，包括基质配</w:t>
      </w:r>
      <w:r>
        <w:rPr>
          <w:rFonts w:cstheme="majorBidi"/>
          <w:szCs w:val="28"/>
        </w:rPr>
        <w:t>制</w:t>
      </w:r>
      <w:r>
        <w:rPr>
          <w:rFonts w:hint="eastAsia" w:cstheme="majorBidi"/>
          <w:szCs w:val="28"/>
        </w:rPr>
        <w:t>和基质消毒，</w:t>
      </w:r>
      <w:r>
        <w:rPr>
          <w:rFonts w:ascii="Segoe UI" w:hAnsi="Segoe UI" w:eastAsia="Segoe UI" w:cs="Segoe UI"/>
          <w:shd w:val="clear" w:color="auto" w:fill="FFFFFF"/>
        </w:rPr>
        <w:t>一般常用的西瓜育苗基质配方为草炭：珍珠岩=</w:t>
      </w:r>
      <w:r>
        <w:rPr>
          <w:rFonts w:eastAsia="Segoe UI"/>
          <w:shd w:val="clear" w:color="auto" w:fill="FFFFFF"/>
        </w:rPr>
        <w:t>3:1</w:t>
      </w:r>
      <w:r>
        <w:rPr>
          <w:rFonts w:ascii="Segoe UI" w:hAnsi="Segoe UI" w:eastAsia="Segoe UI" w:cs="Segoe UI"/>
          <w:shd w:val="clear" w:color="auto" w:fill="FFFFFF"/>
        </w:rPr>
        <w:t>。这种比例配制的基质具有良好的保水、保肥和通气性能，能够满足西瓜幼苗生长的基本需求。若要加入有机肥，</w:t>
      </w:r>
      <w:r>
        <w:rPr>
          <w:rFonts w:hint="eastAsia" w:ascii="Segoe UI" w:hAnsi="Segoe UI" w:cs="Segoe UI"/>
          <w:shd w:val="clear" w:color="auto" w:fill="FFFFFF"/>
        </w:rPr>
        <w:t>则可调整比例，并保证</w:t>
      </w:r>
      <w:r>
        <w:t>各种成分充分混匀</w:t>
      </w:r>
      <w:r>
        <w:rPr>
          <w:rFonts w:ascii="Segoe UI" w:hAnsi="Segoe UI" w:eastAsia="Segoe UI" w:cs="Segoe UI"/>
          <w:shd w:val="clear" w:color="auto" w:fill="FFFFFF"/>
        </w:rPr>
        <w:t>。基质消毒是培育壮苗的重要措施之一</w:t>
      </w:r>
      <w:r>
        <w:rPr>
          <w:rFonts w:hint="eastAsia" w:ascii="Segoe UI" w:hAnsi="Segoe UI" w:cs="Segoe UI"/>
          <w:shd w:val="clear" w:color="auto" w:fill="FFFFFF"/>
        </w:rPr>
        <w:t>，</w:t>
      </w:r>
      <w:r>
        <w:rPr>
          <w:rFonts w:ascii="Segoe UI" w:hAnsi="Segoe UI" w:eastAsia="Segoe UI" w:cs="Segoe UI"/>
          <w:shd w:val="clear" w:color="auto" w:fill="FFFFFF"/>
        </w:rPr>
        <w:t>只有在无病菌、无虫害、无杂草的优质基质中，西瓜幼苗才能正常生长发育，形成茎粗、叶茂、根系发达的壮苗</w:t>
      </w:r>
      <w:r>
        <w:rPr>
          <w:rFonts w:hint="eastAsia" w:ascii="Segoe UI" w:hAnsi="Segoe UI" w:cs="Segoe UI"/>
          <w:shd w:val="clear" w:color="auto" w:fill="FFFFFF"/>
        </w:rPr>
        <w:t>，从而</w:t>
      </w:r>
      <w:r>
        <w:rPr>
          <w:rFonts w:ascii="Segoe UI" w:hAnsi="Segoe UI" w:eastAsia="Segoe UI" w:cs="Segoe UI"/>
          <w:shd w:val="clear" w:color="auto" w:fill="FFFFFF"/>
        </w:rPr>
        <w:t>保证育苗工作的顺利进行和西瓜的正常生产。</w:t>
      </w:r>
      <w:r>
        <w:rPr>
          <w:rFonts w:hint="eastAsia"/>
        </w:rPr>
        <w:t>基质消毒</w:t>
      </w:r>
      <w:r>
        <w:t>常用蒸汽消毒和化学药剂消毒</w:t>
      </w:r>
      <w:r>
        <w:rPr>
          <w:rFonts w:hint="eastAsia"/>
        </w:rPr>
        <w:t>，蒸汽消毒产生的高温，</w:t>
      </w:r>
      <w:r>
        <w:rPr>
          <w:rFonts w:ascii="Segoe UI" w:hAnsi="Segoe UI" w:eastAsia="Segoe UI" w:cs="Segoe UI"/>
          <w:shd w:val="clear" w:color="auto" w:fill="FFFFFF"/>
        </w:rPr>
        <w:t>能够彻底消毒基质。常用的消毒药剂有福尔马林、多菌灵、甲基托布津等</w:t>
      </w:r>
      <w:r>
        <w:rPr>
          <w:rFonts w:hint="eastAsia" w:ascii="Segoe UI" w:hAnsi="Segoe UI" w:cs="Segoe UI"/>
          <w:shd w:val="clear" w:color="auto" w:fill="FFFFFF"/>
        </w:rPr>
        <w:t>；</w:t>
      </w:r>
      <w:r>
        <w:rPr>
          <w:rFonts w:hint="eastAsia"/>
        </w:rPr>
        <w:t>条6.1.3规定了</w:t>
      </w:r>
      <w:r>
        <w:t>苗床准备</w:t>
      </w:r>
      <w:r>
        <w:rPr>
          <w:rFonts w:hint="eastAsia"/>
        </w:rPr>
        <w:t>，苗床分为</w:t>
      </w:r>
      <w:r>
        <w:t>常规设施育苗苗床</w:t>
      </w:r>
      <w:r>
        <w:rPr>
          <w:rFonts w:hint="eastAsia"/>
        </w:rPr>
        <w:t>和</w:t>
      </w:r>
      <w:r>
        <w:t>集约化育苗苗床</w:t>
      </w:r>
      <w:r>
        <w:rPr>
          <w:rFonts w:hint="eastAsia"/>
        </w:rPr>
        <w:t>，</w:t>
      </w:r>
      <w:r>
        <w:t>常规设施育苗苗床</w:t>
      </w:r>
      <w:r>
        <w:rPr>
          <w:rFonts w:hint="eastAsia"/>
        </w:rPr>
        <w:t>又分为冬春育苗苗床和夏春育苗苗床，根据不同的</w:t>
      </w:r>
      <w:r>
        <w:rPr>
          <w:rFonts w:ascii="Segoe UI" w:hAnsi="Segoe UI" w:eastAsia="Segoe UI" w:cs="Segoe UI"/>
          <w:shd w:val="clear" w:color="auto" w:fill="FFFFFF"/>
        </w:rPr>
        <w:t>适用场景</w:t>
      </w:r>
      <w:r>
        <w:rPr>
          <w:rFonts w:hint="eastAsia"/>
        </w:rPr>
        <w:t>选择不同类型的苗床类型。</w:t>
      </w:r>
    </w:p>
    <w:p>
      <w:pPr>
        <w:ind w:firstLine="480"/>
        <w:rPr>
          <w:rFonts w:ascii="Segoe UI" w:hAnsi="Segoe UI" w:cs="Segoe UI"/>
          <w:shd w:val="clear" w:color="auto" w:fill="FFFFFF"/>
        </w:rPr>
      </w:pPr>
      <w:r>
        <w:rPr>
          <w:rFonts w:ascii="Segoe UI" w:hAnsi="Segoe UI" w:eastAsia="Segoe UI" w:cs="Segoe UI"/>
          <w:shd w:val="clear" w:color="auto" w:fill="FFFFFF"/>
        </w:rPr>
        <w:t>催芽播种是西瓜育苗的关键环节，</w:t>
      </w:r>
      <w:r>
        <w:rPr>
          <w:rFonts w:hint="eastAsia" w:ascii="Segoe UI" w:hAnsi="Segoe UI" w:cs="Segoe UI"/>
          <w:shd w:val="clear" w:color="auto" w:fill="FFFFFF"/>
        </w:rPr>
        <w:t>条</w:t>
      </w:r>
      <w:r>
        <w:rPr>
          <w:shd w:val="clear" w:color="auto" w:fill="FFFFFF"/>
        </w:rPr>
        <w:t>6.2</w:t>
      </w:r>
      <w:r>
        <w:rPr>
          <w:rFonts w:hint="eastAsia" w:ascii="Segoe UI" w:hAnsi="Segoe UI" w:cs="Segoe UI"/>
          <w:shd w:val="clear" w:color="auto" w:fill="FFFFFF"/>
        </w:rPr>
        <w:t>对</w:t>
      </w:r>
      <w:r>
        <w:t>催芽播种</w:t>
      </w:r>
      <w:r>
        <w:rPr>
          <w:rFonts w:hint="eastAsia"/>
        </w:rPr>
        <w:t>进行了规定，包括选种、晒种、种子消毒、浸种催芽和播种。</w:t>
      </w:r>
      <w:r>
        <w:rPr>
          <w:rFonts w:ascii="Segoe UI" w:hAnsi="Segoe UI" w:eastAsia="Segoe UI" w:cs="Segoe UI"/>
          <w:shd w:val="clear" w:color="auto" w:fill="FFFFFF"/>
        </w:rPr>
        <w:t>选择品种纯正、粒大饱满、无病虫害、无破损的西瓜种子，以保证种子的发芽率和幼苗的健壮程度。</w:t>
      </w:r>
      <w:r>
        <w:t>种子质量应符合GB 16715. 1</w:t>
      </w:r>
      <w:r>
        <w:rPr>
          <w:rFonts w:hint="eastAsia"/>
        </w:rPr>
        <w:t>《</w:t>
      </w:r>
      <w:r>
        <w:t>瓜菜作物种子第1部分</w:t>
      </w:r>
      <w:r>
        <w:rPr>
          <w:rFonts w:hint="eastAsia"/>
        </w:rPr>
        <w:t>：</w:t>
      </w:r>
      <w:r>
        <w:t>瓜类</w:t>
      </w:r>
      <w:r>
        <w:rPr>
          <w:rFonts w:hint="eastAsia"/>
        </w:rPr>
        <w:t>》中的相关规定</w:t>
      </w:r>
      <w:r>
        <w:rPr>
          <w:rFonts w:hint="eastAsia" w:ascii="Segoe UI" w:hAnsi="Segoe UI" w:cs="Segoe UI"/>
          <w:shd w:val="clear" w:color="auto" w:fill="FFFFFF"/>
        </w:rPr>
        <w:t>；</w:t>
      </w:r>
      <w:r>
        <w:rPr>
          <w:rFonts w:hint="eastAsia"/>
        </w:rPr>
        <w:t>种子消毒一般采用温汤消毒和药剂处理的方式，温汤消毒</w:t>
      </w:r>
      <w:r>
        <w:rPr>
          <w:rFonts w:ascii="Segoe UI" w:hAnsi="Segoe UI" w:eastAsia="Segoe UI" w:cs="Segoe UI"/>
          <w:shd w:val="clear" w:color="auto" w:fill="FFFFFF"/>
        </w:rPr>
        <w:t>可以杀死种子表面的病菌，同时使种子充分吸水，利于发芽</w:t>
      </w:r>
      <w:r>
        <w:rPr>
          <w:rFonts w:hint="eastAsia" w:ascii="Segoe UI" w:hAnsi="Segoe UI" w:cs="Segoe UI"/>
          <w:shd w:val="clear" w:color="auto" w:fill="FFFFFF"/>
        </w:rPr>
        <w:t>。</w:t>
      </w:r>
      <w:r>
        <w:rPr>
          <w:rFonts w:hint="eastAsia"/>
        </w:rPr>
        <w:t>药剂处理</w:t>
      </w:r>
      <w:r>
        <w:rPr>
          <w:rFonts w:ascii="Segoe UI" w:hAnsi="Segoe UI" w:eastAsia="Segoe UI" w:cs="Segoe UI"/>
          <w:shd w:val="clear" w:color="auto" w:fill="FFFFFF"/>
        </w:rPr>
        <w:t>可以有效防治西瓜的一些病害</w:t>
      </w:r>
      <w:r>
        <w:rPr>
          <w:rFonts w:hint="eastAsia" w:ascii="Segoe UI" w:hAnsi="Segoe UI" w:cs="Segoe UI"/>
          <w:shd w:val="clear" w:color="auto" w:fill="FFFFFF"/>
        </w:rPr>
        <w:t>；</w:t>
      </w:r>
      <w:r>
        <w:rPr>
          <w:rFonts w:hint="eastAsia"/>
        </w:rPr>
        <w:t>种子</w:t>
      </w:r>
      <w:r>
        <w:t>消毒后</w:t>
      </w:r>
      <w:r>
        <w:rPr>
          <w:rFonts w:hint="eastAsia"/>
        </w:rPr>
        <w:t>，需要</w:t>
      </w:r>
      <w:r>
        <w:t>继续浸泡</w:t>
      </w:r>
      <w:r>
        <w:rPr>
          <w:rFonts w:hint="eastAsia"/>
        </w:rPr>
        <w:t>，</w:t>
      </w:r>
      <w:r>
        <w:t>沥</w:t>
      </w:r>
      <w:r>
        <w:rPr>
          <w:rFonts w:hint="eastAsia"/>
        </w:rPr>
        <w:t>干</w:t>
      </w:r>
      <w:r>
        <w:t>水分</w:t>
      </w:r>
      <w:r>
        <w:rPr>
          <w:rFonts w:hint="eastAsia"/>
        </w:rPr>
        <w:t>后</w:t>
      </w:r>
      <w:r>
        <w:t>催芽</w:t>
      </w:r>
      <w:r>
        <w:rPr>
          <w:rFonts w:hint="eastAsia"/>
        </w:rPr>
        <w:t>，</w:t>
      </w:r>
      <w:r>
        <w:rPr>
          <w:rFonts w:hint="eastAsia" w:ascii="Segoe UI" w:hAnsi="Segoe UI" w:cs="Segoe UI"/>
          <w:shd w:val="clear" w:color="auto" w:fill="FFFFFF"/>
        </w:rPr>
        <w:t>催芽过程中</w:t>
      </w:r>
      <w:r>
        <w:rPr>
          <w:rFonts w:hint="eastAsia" w:ascii="Segoe UI" w:hAnsi="Segoe UI" w:cs="Segoe UI"/>
          <w:shd w:val="clear" w:color="auto" w:fill="FFFFFF"/>
          <w:lang w:val="en-US" w:eastAsia="zh-CN"/>
        </w:rPr>
        <w:t>要</w:t>
      </w:r>
      <w:r>
        <w:rPr>
          <w:rFonts w:hint="eastAsia" w:ascii="Segoe UI" w:hAnsi="Segoe UI" w:cs="Segoe UI"/>
          <w:shd w:val="clear" w:color="auto" w:fill="FFFFFF"/>
        </w:rPr>
        <w:t>持一定的</w:t>
      </w:r>
      <w:r>
        <w:rPr>
          <w:rFonts w:ascii="Segoe UI" w:hAnsi="Segoe UI" w:eastAsia="Segoe UI" w:cs="Segoe UI"/>
          <w:shd w:val="clear" w:color="auto" w:fill="FFFFFF"/>
        </w:rPr>
        <w:t>温湿度</w:t>
      </w:r>
      <w:r>
        <w:rPr>
          <w:rFonts w:hint="eastAsia" w:ascii="Segoe UI" w:hAnsi="Segoe UI" w:cs="Segoe UI"/>
          <w:shd w:val="clear" w:color="auto" w:fill="FFFFFF"/>
        </w:rPr>
        <w:t>；</w:t>
      </w:r>
      <w:r>
        <w:rPr>
          <w:rFonts w:ascii="Segoe UI" w:hAnsi="Segoe UI" w:eastAsia="Segoe UI" w:cs="Segoe UI"/>
          <w:shd w:val="clear" w:color="auto" w:fill="FFFFFF"/>
        </w:rPr>
        <w:t>催芽后的种子</w:t>
      </w:r>
      <w:r>
        <w:rPr>
          <w:rFonts w:hint="eastAsia" w:ascii="Segoe UI" w:hAnsi="Segoe UI" w:cs="Segoe UI"/>
          <w:shd w:val="clear" w:color="auto" w:fill="FFFFFF"/>
        </w:rPr>
        <w:t>待苗床消毒且温度</w:t>
      </w:r>
      <w:r>
        <w:rPr>
          <w:rFonts w:ascii="Segoe UI" w:hAnsi="Segoe UI" w:eastAsia="Segoe UI" w:cs="Segoe UI"/>
          <w:shd w:val="clear" w:color="auto" w:fill="FFFFFF"/>
        </w:rPr>
        <w:t>稳定</w:t>
      </w:r>
      <w:r>
        <w:rPr>
          <w:rFonts w:hint="eastAsia" w:ascii="Segoe UI" w:hAnsi="Segoe UI" w:cs="Segoe UI"/>
          <w:shd w:val="clear" w:color="auto" w:fill="FFFFFF"/>
        </w:rPr>
        <w:t>后，</w:t>
      </w:r>
      <w:r>
        <w:rPr>
          <w:rFonts w:ascii="Segoe UI" w:hAnsi="Segoe UI" w:eastAsia="Segoe UI" w:cs="Segoe UI"/>
          <w:shd w:val="clear" w:color="auto" w:fill="FFFFFF"/>
        </w:rPr>
        <w:t>即可播种</w:t>
      </w:r>
      <w:r>
        <w:rPr>
          <w:rFonts w:hint="eastAsia" w:ascii="Segoe UI" w:hAnsi="Segoe UI" w:cs="Segoe UI"/>
          <w:shd w:val="clear" w:color="auto" w:fill="FFFFFF"/>
        </w:rPr>
        <w:t>。</w:t>
      </w:r>
    </w:p>
    <w:p>
      <w:pPr>
        <w:ind w:firstLine="480"/>
        <w:rPr>
          <w:rFonts w:ascii="Segoe UI" w:hAnsi="Segoe UI" w:eastAsia="Segoe UI" w:cs="Segoe UI"/>
          <w:shd w:val="clear" w:color="auto" w:fill="FFFFFF"/>
        </w:rPr>
      </w:pPr>
      <w:r>
        <w:rPr>
          <w:rFonts w:ascii="Segoe UI" w:hAnsi="Segoe UI" w:eastAsia="Segoe UI" w:cs="Segoe UI"/>
          <w:shd w:val="clear" w:color="auto" w:fill="FFFFFF"/>
        </w:rPr>
        <w:t>苗床管理贯穿从播种后到移栽前的整个阶段，</w:t>
      </w:r>
      <w:r>
        <w:rPr>
          <w:rFonts w:hint="eastAsia" w:ascii="Segoe UI" w:hAnsi="Segoe UI" w:cs="Segoe UI"/>
          <w:shd w:val="clear" w:color="auto" w:fill="FFFFFF"/>
        </w:rPr>
        <w:t>条</w:t>
      </w:r>
      <w:r>
        <w:rPr>
          <w:shd w:val="clear" w:color="auto" w:fill="FFFFFF"/>
        </w:rPr>
        <w:t>6.3.1</w:t>
      </w:r>
      <w:r>
        <w:rPr>
          <w:rFonts w:hint="eastAsia"/>
        </w:rPr>
        <w:t>～</w:t>
      </w:r>
      <w:r>
        <w:rPr>
          <w:rFonts w:hint="eastAsia"/>
          <w:shd w:val="clear" w:color="auto" w:fill="FFFFFF"/>
        </w:rPr>
        <w:t>6.3.4分别规定了</w:t>
      </w:r>
      <w:r>
        <w:rPr>
          <w:rFonts w:hint="eastAsia" w:ascii="Segoe UI" w:hAnsi="Segoe UI" w:cs="Segoe UI"/>
          <w:shd w:val="clear" w:color="auto" w:fill="FFFFFF"/>
        </w:rPr>
        <w:t>不同的生长阶段，在温湿度、光照、养分方面采取的管理措施；条</w:t>
      </w:r>
      <w:r>
        <w:rPr>
          <w:rFonts w:eastAsia="Segoe UI"/>
          <w:shd w:val="clear" w:color="auto" w:fill="FFFFFF"/>
        </w:rPr>
        <w:t>6.3.5</w:t>
      </w:r>
      <w:r>
        <w:rPr>
          <w:rFonts w:hint="eastAsia" w:ascii="Segoe UI" w:hAnsi="Segoe UI" w:cs="Segoe UI"/>
          <w:shd w:val="clear" w:color="auto" w:fill="FFFFFF"/>
        </w:rPr>
        <w:t>对</w:t>
      </w:r>
      <w:r>
        <w:rPr>
          <w:rFonts w:hint="eastAsia" w:ascii="Segoe UI" w:hAnsi="Segoe UI" w:eastAsia="Segoe UI" w:cs="Segoe UI"/>
          <w:shd w:val="clear" w:color="auto" w:fill="FFFFFF"/>
        </w:rPr>
        <w:t>种苗分级</w:t>
      </w:r>
      <w:r>
        <w:rPr>
          <w:rFonts w:hint="eastAsia" w:ascii="Segoe UI" w:hAnsi="Segoe UI" w:cs="Segoe UI"/>
          <w:shd w:val="clear" w:color="auto" w:fill="FFFFFF"/>
        </w:rPr>
        <w:t>做出了规定，</w:t>
      </w:r>
      <w:r>
        <w:rPr>
          <w:rFonts w:ascii="Segoe UI" w:hAnsi="Segoe UI" w:eastAsia="Segoe UI" w:cs="Segoe UI"/>
          <w:shd w:val="clear" w:color="auto" w:fill="FFFFFF"/>
        </w:rPr>
        <w:t>种苗分级是根据西瓜种苗的生长状况、形态特征等对其进行质量划分的过程，合理分级有利于培育壮苗、提高移栽成活率及田间生长的整齐度</w:t>
      </w:r>
      <w:r>
        <w:rPr>
          <w:rFonts w:hint="eastAsia" w:ascii="Segoe UI" w:hAnsi="Segoe UI" w:cs="Segoe UI"/>
          <w:shd w:val="clear" w:color="auto" w:fill="FFFFFF"/>
        </w:rPr>
        <w:t>；条</w:t>
      </w:r>
      <w:r>
        <w:rPr>
          <w:shd w:val="clear" w:color="auto" w:fill="FFFFFF"/>
        </w:rPr>
        <w:t>6.3.6</w:t>
      </w:r>
      <w:r>
        <w:rPr>
          <w:rFonts w:hint="eastAsia"/>
          <w:shd w:val="clear" w:color="auto" w:fill="FFFFFF"/>
        </w:rPr>
        <w:t>规定了</w:t>
      </w:r>
      <w:r>
        <w:rPr>
          <w:rFonts w:hint="eastAsia" w:ascii="Segoe UI" w:hAnsi="Segoe UI" w:cs="Segoe UI"/>
          <w:shd w:val="clear" w:color="auto" w:fill="FFFFFF"/>
        </w:rPr>
        <w:t>炼苗出圃的过程。</w:t>
      </w:r>
      <w:r>
        <w:rPr>
          <w:rFonts w:ascii="Segoe UI" w:hAnsi="Segoe UI" w:eastAsia="Segoe UI" w:cs="Segoe UI"/>
          <w:shd w:val="clear" w:color="auto" w:fill="FFFFFF"/>
        </w:rPr>
        <w:t>炼苗是在幼苗移栽前，人为地对幼苗进行一系列适应性锻炼，使其能够更好地适应移栽后的外界环境条件的过程</w:t>
      </w:r>
      <w:r>
        <w:rPr>
          <w:rFonts w:hint="eastAsia" w:ascii="Segoe UI" w:hAnsi="Segoe UI" w:cs="Segoe UI"/>
          <w:shd w:val="clear" w:color="auto" w:fill="FFFFFF"/>
        </w:rPr>
        <w:t>。</w:t>
      </w:r>
      <w:r>
        <w:rPr>
          <w:rFonts w:ascii="Segoe UI" w:hAnsi="Segoe UI" w:eastAsia="Segoe UI" w:cs="Segoe UI"/>
          <w:shd w:val="clear" w:color="auto" w:fill="FFFFFF"/>
        </w:rPr>
        <w:t>经过培育和炼苗后的幼苗，达到一定的生长标准和质量要求，</w:t>
      </w:r>
      <w:r>
        <w:rPr>
          <w:rFonts w:hint="eastAsia" w:ascii="Segoe UI" w:hAnsi="Segoe UI" w:cs="Segoe UI"/>
          <w:shd w:val="clear" w:color="auto" w:fill="FFFFFF"/>
        </w:rPr>
        <w:t>即可</w:t>
      </w:r>
      <w:r>
        <w:rPr>
          <w:rFonts w:ascii="Segoe UI" w:hAnsi="Segoe UI" w:eastAsia="Segoe UI" w:cs="Segoe UI"/>
          <w:shd w:val="clear" w:color="auto" w:fill="FFFFFF"/>
        </w:rPr>
        <w:t>从育苗场所（如温室、苗床等）转移到种植大田或其他种植场地进行定植。</w:t>
      </w:r>
      <w:r>
        <w:rPr>
          <w:rFonts w:hint="eastAsia" w:ascii="Segoe UI" w:hAnsi="Segoe UI" w:cs="Segoe UI"/>
          <w:shd w:val="clear" w:color="auto" w:fill="FFFFFF"/>
        </w:rPr>
        <w:t>通过</w:t>
      </w:r>
      <w:r>
        <w:rPr>
          <w:rFonts w:ascii="Segoe UI" w:hAnsi="Segoe UI" w:eastAsia="Segoe UI" w:cs="Segoe UI"/>
          <w:shd w:val="clear" w:color="auto" w:fill="FFFFFF"/>
        </w:rPr>
        <w:t>适当的干旱和温度变化等炼苗措施，</w:t>
      </w:r>
      <w:r>
        <w:rPr>
          <w:rFonts w:hint="eastAsia" w:ascii="Segoe UI" w:hAnsi="Segoe UI" w:cs="Segoe UI"/>
          <w:shd w:val="clear" w:color="auto" w:fill="FFFFFF"/>
        </w:rPr>
        <w:t>能够</w:t>
      </w:r>
      <w:r>
        <w:rPr>
          <w:rFonts w:ascii="Segoe UI" w:hAnsi="Segoe UI" w:eastAsia="Segoe UI" w:cs="Segoe UI"/>
          <w:shd w:val="clear" w:color="auto" w:fill="FFFFFF"/>
        </w:rPr>
        <w:t>确保幼苗能够尽快扎根生长。</w:t>
      </w:r>
    </w:p>
    <w:p>
      <w:pPr>
        <w:ind w:firstLine="480"/>
        <w:rPr>
          <w:rFonts w:ascii="Segoe UI" w:hAnsi="Segoe UI" w:cs="Segoe UI"/>
          <w:shd w:val="clear" w:color="auto" w:fill="FFFFFF"/>
        </w:rPr>
      </w:pPr>
      <w:r>
        <w:t>西瓜苗期主要</w:t>
      </w:r>
      <w:r>
        <w:rPr>
          <w:rFonts w:hint="eastAsia"/>
        </w:rPr>
        <w:t>病害</w:t>
      </w:r>
      <w:r>
        <w:t>有猝倒病、立枯病、疫病、炭疽病等</w:t>
      </w:r>
      <w:r>
        <w:rPr>
          <w:rFonts w:hint="eastAsia"/>
        </w:rPr>
        <w:t>，</w:t>
      </w:r>
      <w:r>
        <w:t>虫害主要有蚜虫、烟粉虱、蓟马、美洲斑潜蝇、黄守瓜等</w:t>
      </w:r>
      <w:r>
        <w:rPr>
          <w:rFonts w:hint="eastAsia"/>
        </w:rPr>
        <w:t>。条6.4苗期病虫害防治从农业防治、物理防治、生物防治、化学防治四个方面对苗期病虫害防治措施做出了规定。其中，</w:t>
      </w:r>
      <w:r>
        <w:t>化学药剂使用严格执行GB/T 8321</w:t>
      </w:r>
      <w:r>
        <w:rPr>
          <w:rFonts w:hint="eastAsia"/>
        </w:rPr>
        <w:t>（所有部分）《农药合理使用准则》</w:t>
      </w:r>
      <w:r>
        <w:t>中的规定</w:t>
      </w:r>
      <w:r>
        <w:rPr>
          <w:rFonts w:hint="eastAsia"/>
        </w:rPr>
        <w:t>；种苗</w:t>
      </w:r>
      <w:r>
        <w:t>包装和运输</w:t>
      </w:r>
      <w:r>
        <w:rPr>
          <w:rFonts w:ascii="Segoe UI" w:hAnsi="Segoe UI" w:eastAsia="Segoe UI" w:cs="Segoe UI"/>
          <w:shd w:val="clear" w:color="auto" w:fill="FFFFFF"/>
        </w:rPr>
        <w:t>关系到种苗的成活率和质量</w:t>
      </w:r>
      <w:r>
        <w:rPr>
          <w:rFonts w:hint="eastAsia" w:ascii="Segoe UI" w:hAnsi="Segoe UI" w:cs="Segoe UI"/>
          <w:shd w:val="clear" w:color="auto" w:fill="FFFFFF"/>
        </w:rPr>
        <w:t>，</w:t>
      </w:r>
      <w:r>
        <w:rPr>
          <w:rFonts w:ascii="Segoe UI" w:hAnsi="Segoe UI" w:eastAsia="Segoe UI" w:cs="Segoe UI"/>
          <w:shd w:val="clear" w:color="auto" w:fill="FFFFFF"/>
        </w:rPr>
        <w:t>根据种苗的特性和运输季节，</w:t>
      </w:r>
      <w:r>
        <w:rPr>
          <w:rFonts w:hint="eastAsia" w:ascii="Segoe UI" w:hAnsi="Segoe UI" w:cs="Segoe UI"/>
          <w:shd w:val="clear" w:color="auto" w:fill="FFFFFF"/>
        </w:rPr>
        <w:t>应</w:t>
      </w:r>
      <w:r>
        <w:rPr>
          <w:rFonts w:ascii="Segoe UI" w:hAnsi="Segoe UI" w:eastAsia="Segoe UI" w:cs="Segoe UI"/>
          <w:shd w:val="clear" w:color="auto" w:fill="FFFFFF"/>
        </w:rPr>
        <w:t>合理控制运输温度</w:t>
      </w:r>
      <w:r>
        <w:rPr>
          <w:rFonts w:hint="eastAsia" w:ascii="Segoe UI" w:hAnsi="Segoe UI" w:cs="Segoe UI"/>
          <w:shd w:val="clear" w:color="auto" w:fill="FFFFFF"/>
        </w:rPr>
        <w:t>；</w:t>
      </w:r>
      <w:r>
        <w:rPr>
          <w:rFonts w:ascii="Segoe UI" w:hAnsi="Segoe UI" w:eastAsia="Segoe UI" w:cs="Segoe UI"/>
          <w:shd w:val="clear" w:color="auto" w:fill="FFFFFF"/>
        </w:rPr>
        <w:t>种苗生产档案在西瓜种苗生产过程中，是记录关键信息、保障种苗质量可追溯性的重要文件，</w:t>
      </w:r>
      <w:r>
        <w:rPr>
          <w:rFonts w:hint="eastAsia" w:ascii="Segoe UI" w:hAnsi="Segoe UI" w:cs="Segoe UI"/>
          <w:shd w:val="clear" w:color="auto" w:fill="FFFFFF"/>
        </w:rPr>
        <w:t>应</w:t>
      </w:r>
      <w:r>
        <w:t>确保所有记录真实、准确、规范</w:t>
      </w:r>
      <w:r>
        <w:rPr>
          <w:rFonts w:ascii="Segoe UI" w:hAnsi="Segoe UI" w:eastAsia="Segoe UI" w:cs="Segoe UI"/>
          <w:shd w:val="clear" w:color="auto" w:fill="FFFFFF"/>
        </w:rPr>
        <w:t>。</w:t>
      </w:r>
    </w:p>
    <w:p>
      <w:pPr>
        <w:numPr>
          <w:ilvl w:val="0"/>
          <w:numId w:val="4"/>
        </w:numPr>
        <w:ind w:firstLine="482"/>
        <w:rPr>
          <w:rFonts w:cs="Segoe UI"/>
          <w:b/>
          <w:bCs/>
          <w:shd w:val="clear" w:color="auto" w:fill="FFFFFF"/>
        </w:rPr>
      </w:pPr>
      <w:r>
        <w:rPr>
          <w:rFonts w:hint="eastAsia" w:cs="Segoe UI"/>
          <w:b/>
          <w:bCs/>
          <w:shd w:val="clear" w:color="auto" w:fill="FFFFFF"/>
        </w:rPr>
        <w:t>栽培管理</w:t>
      </w:r>
    </w:p>
    <w:p>
      <w:pPr>
        <w:widowControl/>
        <w:ind w:firstLine="480"/>
        <w:jc w:val="left"/>
        <w:rPr>
          <w:rFonts w:ascii="Segoe UI" w:hAnsi="Segoe UI" w:eastAsia="Segoe UI" w:cs="Segoe UI"/>
          <w:shd w:val="clear" w:color="auto" w:fill="FFFFFF"/>
        </w:rPr>
      </w:pPr>
      <w:r>
        <w:rPr>
          <w:rFonts w:ascii="Segoe UI" w:hAnsi="Segoe UI" w:eastAsia="Segoe UI" w:cs="Segoe UI"/>
          <w:shd w:val="clear" w:color="auto" w:fill="FFFFFF"/>
        </w:rPr>
        <w:t>在西瓜种苗移栽后的栽培管理环节，需要从多个方面</w:t>
      </w:r>
      <w:r>
        <w:rPr>
          <w:rFonts w:hint="eastAsia" w:ascii="Segoe UI" w:hAnsi="Segoe UI" w:cs="Segoe UI"/>
          <w:shd w:val="clear" w:color="auto" w:fill="FFFFFF"/>
        </w:rPr>
        <w:t>进行管理</w:t>
      </w:r>
      <w:r>
        <w:rPr>
          <w:rFonts w:ascii="Segoe UI" w:hAnsi="Segoe UI" w:eastAsia="Segoe UI" w:cs="Segoe UI"/>
          <w:shd w:val="clear" w:color="auto" w:fill="FFFFFF"/>
        </w:rPr>
        <w:t>，才能确保西瓜茁壮成长、实现优质高产。</w:t>
      </w:r>
      <w:r>
        <w:rPr>
          <w:rFonts w:hint="eastAsia" w:ascii="Segoe UI" w:hAnsi="Segoe UI" w:cs="Segoe UI"/>
          <w:shd w:val="clear" w:color="auto" w:fill="FFFFFF"/>
        </w:rPr>
        <w:t>条</w:t>
      </w:r>
      <w:r>
        <w:rPr>
          <w:shd w:val="clear" w:color="auto" w:fill="FFFFFF"/>
        </w:rPr>
        <w:t>7.1</w:t>
      </w:r>
      <w:r>
        <w:rPr>
          <w:rFonts w:hint="eastAsia"/>
        </w:rPr>
        <w:t>～</w:t>
      </w:r>
      <w:r>
        <w:rPr>
          <w:shd w:val="clear" w:color="auto" w:fill="FFFFFF"/>
        </w:rPr>
        <w:t>7.4</w:t>
      </w:r>
      <w:r>
        <w:rPr>
          <w:rFonts w:hint="eastAsia" w:ascii="Segoe UI" w:hAnsi="Segoe UI" w:cs="Segoe UI"/>
          <w:shd w:val="clear" w:color="auto" w:fill="FFFFFF"/>
        </w:rPr>
        <w:t>主要</w:t>
      </w:r>
      <w:r>
        <w:rPr>
          <w:rFonts w:ascii="Segoe UI" w:hAnsi="Segoe UI" w:eastAsia="Segoe UI" w:cs="Segoe UI"/>
          <w:shd w:val="clear" w:color="auto" w:fill="FFFFFF"/>
        </w:rPr>
        <w:t>从</w:t>
      </w:r>
      <w:r>
        <w:rPr>
          <w:rFonts w:hint="eastAsia" w:ascii="Segoe UI" w:hAnsi="Segoe UI" w:cs="Segoe UI"/>
          <w:shd w:val="clear" w:color="auto" w:fill="FFFFFF"/>
        </w:rPr>
        <w:t>定植前准备、定植、田间管理</w:t>
      </w:r>
      <w:r>
        <w:rPr>
          <w:rFonts w:ascii="Segoe UI" w:hAnsi="Segoe UI" w:eastAsia="Segoe UI" w:cs="Segoe UI"/>
          <w:shd w:val="clear" w:color="auto" w:fill="FFFFFF"/>
        </w:rPr>
        <w:t>土病虫害防治等方面</w:t>
      </w:r>
      <w:r>
        <w:rPr>
          <w:rFonts w:hint="eastAsia" w:ascii="Segoe UI" w:hAnsi="Segoe UI" w:cs="Segoe UI"/>
          <w:shd w:val="clear" w:color="auto" w:fill="FFFFFF"/>
        </w:rPr>
        <w:t>进行规定</w:t>
      </w:r>
      <w:r>
        <w:rPr>
          <w:rFonts w:ascii="Segoe UI" w:hAnsi="Segoe UI" w:eastAsia="Segoe UI" w:cs="Segoe UI"/>
          <w:shd w:val="clear" w:color="auto" w:fill="FFFFFF"/>
        </w:rPr>
        <w:t>。</w:t>
      </w:r>
    </w:p>
    <w:p>
      <w:pPr>
        <w:widowControl/>
        <w:ind w:firstLine="480"/>
        <w:jc w:val="left"/>
      </w:pPr>
      <w:r>
        <w:rPr>
          <w:rFonts w:hint="eastAsia" w:ascii="Segoe UI" w:hAnsi="Segoe UI" w:cs="Segoe UI"/>
          <w:shd w:val="clear" w:color="auto" w:fill="FFFFFF"/>
        </w:rPr>
        <w:t>定植前准备包括</w:t>
      </w:r>
      <w:r>
        <w:rPr>
          <w:rFonts w:hint="eastAsia"/>
        </w:rPr>
        <w:t>土壤消毒、整地、施肥、覆膜、起垄和洇地。土壤消毒能够杀灭病菌与害虫、减少杂草种子萌发，以保障西瓜植株的健康。通过整地改善土壤结构，增加土壤孔隙度。这有利于土壤通气和透水，为西瓜根系生长提供良好的环境。施肥</w:t>
      </w:r>
      <w:r>
        <w:rPr>
          <w:rFonts w:ascii="宋体" w:hAnsi="宋体" w:cs="宋体"/>
          <w:kern w:val="0"/>
          <w:lang w:bidi="ar"/>
        </w:rPr>
        <w:t>可改善土壤肥力，</w:t>
      </w:r>
      <w:r>
        <w:rPr>
          <w:rFonts w:hint="eastAsia" w:ascii="宋体" w:hAnsi="宋体" w:cs="宋体"/>
          <w:kern w:val="0"/>
          <w:lang w:bidi="ar"/>
        </w:rPr>
        <w:t>覆膜能够保持土壤温湿度，起垄有助于改善排水条件、增加土壤通气性，洇地则能够保证种子发芽水分需求、促进土壤养分溶解与运输。通过以上定植前准备，能够从肥力、温湿度等方面为西瓜的生长提供基础性的保障作用。</w:t>
      </w:r>
    </w:p>
    <w:p>
      <w:pPr>
        <w:widowControl/>
        <w:ind w:firstLine="480"/>
        <w:jc w:val="left"/>
        <w:rPr>
          <w:rFonts w:hint="eastAsia" w:ascii="宋体" w:hAnsi="宋体" w:cs="宋体"/>
          <w:kern w:val="0"/>
          <w:lang w:bidi="ar"/>
        </w:rPr>
      </w:pPr>
      <w:r>
        <w:rPr>
          <w:rFonts w:hint="eastAsia"/>
        </w:rPr>
        <w:t>条7.2定植从定植时间、定植苗和定植方法三方面对西瓜栽培中的定植环节进行了规定。定植时间应依据季节、气候条件并结合苗情。</w:t>
      </w:r>
      <w:r>
        <w:rPr>
          <w:rFonts w:ascii="宋体" w:hAnsi="宋体" w:cs="宋体"/>
          <w:kern w:val="0"/>
          <w:lang w:bidi="ar"/>
        </w:rPr>
        <w:t>若定植过早，易遭受低温冷害，影响种苗成活率</w:t>
      </w:r>
      <w:r>
        <w:rPr>
          <w:rFonts w:hint="eastAsia" w:ascii="宋体" w:hAnsi="宋体" w:cs="宋体"/>
          <w:kern w:val="0"/>
          <w:lang w:bidi="ar"/>
        </w:rPr>
        <w:t>，定植</w:t>
      </w:r>
      <w:r>
        <w:rPr>
          <w:rFonts w:ascii="宋体" w:hAnsi="宋体" w:cs="宋体"/>
          <w:kern w:val="0"/>
          <w:lang w:bidi="ar"/>
        </w:rPr>
        <w:t>过晚则会缩短西瓜生育期，影响产量与品质。</w:t>
      </w:r>
      <w:r>
        <w:rPr>
          <w:rFonts w:hint="eastAsia" w:ascii="宋体" w:hAnsi="宋体" w:cs="宋体"/>
          <w:kern w:val="0"/>
          <w:lang w:bidi="ar"/>
        </w:rPr>
        <w:t>茎秆</w:t>
      </w:r>
      <w:r>
        <w:rPr>
          <w:rFonts w:ascii="宋体" w:hAnsi="宋体" w:cs="宋体"/>
          <w:kern w:val="0"/>
          <w:lang w:bidi="ar"/>
        </w:rPr>
        <w:t>粗壮</w:t>
      </w:r>
      <w:r>
        <w:rPr>
          <w:rFonts w:hint="eastAsia" w:ascii="宋体" w:hAnsi="宋体" w:cs="宋体"/>
          <w:kern w:val="0"/>
          <w:lang w:bidi="ar"/>
        </w:rPr>
        <w:t>、</w:t>
      </w:r>
      <w:r>
        <w:rPr>
          <w:rFonts w:ascii="宋体" w:hAnsi="宋体" w:cs="宋体"/>
          <w:kern w:val="0"/>
          <w:lang w:bidi="ar"/>
        </w:rPr>
        <w:t>根系发达且完整</w:t>
      </w:r>
      <w:r>
        <w:rPr>
          <w:rFonts w:hint="eastAsia" w:ascii="宋体" w:hAnsi="宋体" w:cs="宋体"/>
          <w:kern w:val="0"/>
          <w:lang w:bidi="ar"/>
        </w:rPr>
        <w:t>的种苗</w:t>
      </w:r>
      <w:r>
        <w:rPr>
          <w:rFonts w:ascii="宋体" w:hAnsi="宋体" w:cs="宋体"/>
          <w:kern w:val="0"/>
          <w:lang w:bidi="ar"/>
        </w:rPr>
        <w:t>，抗逆性较强，能更好适应新环境</w:t>
      </w:r>
      <w:r>
        <w:rPr>
          <w:rFonts w:hint="eastAsia" w:ascii="宋体" w:hAnsi="宋体" w:cs="宋体"/>
          <w:kern w:val="0"/>
          <w:lang w:bidi="ar"/>
        </w:rPr>
        <w:t>；</w:t>
      </w:r>
      <w:r>
        <w:rPr>
          <w:rFonts w:ascii="宋体" w:hAnsi="宋体" w:cs="宋体"/>
          <w:kern w:val="0"/>
          <w:lang w:bidi="ar"/>
        </w:rPr>
        <w:t>相较于传统挖穴定植，打孔定植操作相对简便、快捷，能够在一定程度上提高定植效率，尤其在大面积种植时，可节省人力和时间成本，确保在适宜的定植时间内完成种植任务</w:t>
      </w:r>
      <w:r>
        <w:rPr>
          <w:rFonts w:hint="eastAsia" w:ascii="宋体" w:hAnsi="宋体" w:cs="宋体"/>
          <w:kern w:val="0"/>
          <w:lang w:bidi="ar"/>
        </w:rPr>
        <w:t>。</w:t>
      </w:r>
      <w:r>
        <w:rPr>
          <w:rFonts w:hint="eastAsia"/>
        </w:rPr>
        <w:t>定植株距35 cm～40 cm，高密度栽培株</w:t>
      </w:r>
      <w:r>
        <w:rPr>
          <w:rFonts w:hint="eastAsia" w:eastAsiaTheme="minorEastAsia"/>
        </w:rPr>
        <w:t>距17 cm</w:t>
      </w:r>
      <w:r>
        <w:rPr>
          <w:rFonts w:eastAsiaTheme="minorEastAsia"/>
        </w:rPr>
        <w:t>～</w:t>
      </w:r>
      <w:r>
        <w:rPr>
          <w:rFonts w:hint="eastAsia" w:eastAsiaTheme="minorEastAsia"/>
        </w:rPr>
        <w:t>25 cm。</w:t>
      </w:r>
      <w:r>
        <w:rPr>
          <w:rFonts w:ascii="宋体" w:hAnsi="宋体" w:cs="宋体"/>
          <w:kern w:val="0"/>
          <w:lang w:bidi="ar"/>
        </w:rPr>
        <w:t>这样能确保每株西瓜种苗都拥有适宜且相对一致的生长空间，</w:t>
      </w:r>
      <w:r>
        <w:rPr>
          <w:rFonts w:hint="eastAsia" w:ascii="宋体" w:hAnsi="宋体" w:cs="宋体"/>
          <w:kern w:val="0"/>
          <w:lang w:bidi="ar"/>
        </w:rPr>
        <w:t>也便于</w:t>
      </w:r>
      <w:r>
        <w:rPr>
          <w:rFonts w:ascii="宋体" w:hAnsi="宋体" w:cs="宋体"/>
          <w:kern w:val="0"/>
          <w:lang w:bidi="ar"/>
        </w:rPr>
        <w:t>后续的农事操作</w:t>
      </w:r>
      <w:r>
        <w:rPr>
          <w:rFonts w:hint="eastAsia" w:ascii="宋体" w:hAnsi="宋体" w:cs="宋体"/>
          <w:kern w:val="0"/>
          <w:lang w:bidi="ar"/>
        </w:rPr>
        <w:t>。</w:t>
      </w:r>
      <w:r>
        <w:rPr>
          <w:rFonts w:ascii="宋体" w:hAnsi="宋体" w:cs="宋体"/>
          <w:kern w:val="0"/>
          <w:lang w:bidi="ar"/>
        </w:rPr>
        <w:t>西瓜种苗的定植深度适宜，使瓜苗基质面略高于垄畦面，且不会没过嫁接接口，避免因定植过深导致接口感染病菌，或因过浅使种苗根系暴露、不易固定。合适的定植深度有助于种苗根系与土壤紧密接触，促进根系对水分和养分的吸收，提高种苗成活率和生长速度</w:t>
      </w:r>
      <w:r>
        <w:rPr>
          <w:rFonts w:hint="eastAsia" w:ascii="宋体" w:hAnsi="宋体" w:cs="宋体"/>
          <w:kern w:val="0"/>
          <w:lang w:bidi="ar"/>
        </w:rPr>
        <w:t>。</w:t>
      </w:r>
    </w:p>
    <w:p>
      <w:pPr>
        <w:widowControl/>
        <w:ind w:firstLine="480"/>
        <w:jc w:val="left"/>
        <w:rPr>
          <w:rFonts w:hint="eastAsia" w:ascii="宋体" w:hAnsi="宋体" w:cs="宋体"/>
          <w:kern w:val="0"/>
          <w:lang w:bidi="ar"/>
        </w:rPr>
      </w:pPr>
      <w:r>
        <w:rPr>
          <w:rFonts w:hint="eastAsia" w:ascii="Times New Roman" w:hAnsi="Times New Roman"/>
          <w:sz w:val="24"/>
        </w:rPr>
        <w:t>条7.3.1对西瓜不同生长发育阶段的温度提出要求。其中，缓苗期：</w:t>
      </w:r>
      <w:r>
        <w:rPr>
          <w:rFonts w:ascii="Times New Roman" w:hAnsi="Times New Roman" w:cs="宋体"/>
          <w:kern w:val="0"/>
          <w:sz w:val="24"/>
          <w:lang w:bidi="ar"/>
        </w:rPr>
        <w:t>白天温度应稳定在30</w:t>
      </w:r>
      <w:r>
        <w:rPr>
          <w:rFonts w:ascii="Times New Roman" w:hAnsi="Times New Roman"/>
          <w:sz w:val="24"/>
        </w:rPr>
        <w:t>℃</w:t>
      </w:r>
      <w:r>
        <w:rPr>
          <w:rFonts w:ascii="Times New Roman" w:hAnsi="Times New Roman" w:cs="宋体"/>
          <w:kern w:val="0"/>
          <w:sz w:val="24"/>
          <w:lang w:bidi="ar"/>
        </w:rPr>
        <w:t>左右，此温度能显著提升种苗的生理活性，加速新陈代谢进程，促使根系伤口快速愈合，新根大量萌发，为植株后续生长奠定坚实基础。夜间温度需维持在15℃左右，该温度既能有效减少植株呼吸作用对白天积累养分的消耗，确保能量得以留存，又可避免因温度过低致使种苗遭受冷害。夜间最低温度绝对不能低于10</w:t>
      </w:r>
      <w:r>
        <w:rPr>
          <w:rFonts w:ascii="Times New Roman" w:hAnsi="Times New Roman"/>
          <w:sz w:val="24"/>
        </w:rPr>
        <w:t>℃</w:t>
      </w:r>
      <w:r>
        <w:rPr>
          <w:rFonts w:ascii="Times New Roman" w:hAnsi="Times New Roman" w:cs="宋体"/>
          <w:kern w:val="0"/>
          <w:sz w:val="24"/>
          <w:lang w:bidi="ar"/>
        </w:rPr>
        <w:t>，否则会严重影响种苗的正常生理功能，阻碍其生长发育。地温方面，要始终保持在15</w:t>
      </w:r>
      <w:r>
        <w:rPr>
          <w:rFonts w:ascii="Times New Roman" w:hAnsi="Times New Roman"/>
          <w:sz w:val="24"/>
        </w:rPr>
        <w:t>℃</w:t>
      </w:r>
      <w:r>
        <w:rPr>
          <w:rFonts w:ascii="Times New Roman" w:hAnsi="Times New Roman" w:cs="宋体"/>
          <w:kern w:val="0"/>
          <w:sz w:val="24"/>
          <w:lang w:bidi="ar"/>
        </w:rPr>
        <w:t>以上，温暖的地温有利于根系更好地扎根土壤，增强根系对水分和养分的吸收能力。</w:t>
      </w:r>
      <w:r>
        <w:rPr>
          <w:rFonts w:hint="eastAsia" w:ascii="Times New Roman" w:hAnsi="Times New Roman" w:cs="宋体"/>
          <w:kern w:val="0"/>
          <w:sz w:val="24"/>
          <w:lang w:bidi="ar"/>
        </w:rPr>
        <w:t>团棵期：白天温度应控制在22</w:t>
      </w:r>
      <w:r>
        <w:rPr>
          <w:rFonts w:ascii="Times New Roman" w:hAnsi="Times New Roman"/>
          <w:sz w:val="24"/>
        </w:rPr>
        <w:t>℃</w:t>
      </w:r>
      <w:r>
        <w:rPr>
          <w:rFonts w:hint="eastAsia" w:ascii="Times New Roman" w:hAnsi="Times New Roman"/>
          <w:sz w:val="24"/>
        </w:rPr>
        <w:t>～</w:t>
      </w:r>
      <w:r>
        <w:rPr>
          <w:rFonts w:hint="eastAsia" w:ascii="Times New Roman" w:hAnsi="Times New Roman" w:cs="宋体"/>
          <w:kern w:val="0"/>
          <w:sz w:val="24"/>
          <w:lang w:bidi="ar"/>
        </w:rPr>
        <w:t>25</w:t>
      </w:r>
      <w:r>
        <w:rPr>
          <w:rFonts w:ascii="Times New Roman" w:hAnsi="Times New Roman"/>
          <w:sz w:val="24"/>
        </w:rPr>
        <w:t>℃</w:t>
      </w:r>
      <w:r>
        <w:rPr>
          <w:rFonts w:hint="eastAsia" w:ascii="Times New Roman" w:hAnsi="Times New Roman" w:cs="宋体"/>
          <w:kern w:val="0"/>
          <w:sz w:val="24"/>
          <w:lang w:bidi="ar"/>
        </w:rPr>
        <w:t>，该温度范围有利于植株进行光合作用，促进叶片生长和茎蔓加粗。夜间温度要在12</w:t>
      </w:r>
      <w:r>
        <w:rPr>
          <w:rFonts w:ascii="Times New Roman" w:hAnsi="Times New Roman"/>
          <w:sz w:val="24"/>
        </w:rPr>
        <w:t>℃</w:t>
      </w:r>
      <w:r>
        <w:rPr>
          <w:rFonts w:hint="eastAsia" w:ascii="Times New Roman" w:hAnsi="Times New Roman" w:cs="宋体"/>
          <w:kern w:val="0"/>
          <w:sz w:val="24"/>
          <w:lang w:bidi="ar"/>
        </w:rPr>
        <w:t>以上，以保障植株正常的生理代谢活动。若白天温度超过30℃，需及时通风，通过开启通风口等方式，降低棚内温度，避免高温对植株生长产生不利影响。伸蔓期：白天温度适宜范围为18</w:t>
      </w:r>
      <w:r>
        <w:rPr>
          <w:rFonts w:ascii="Times New Roman" w:hAnsi="Times New Roman"/>
          <w:sz w:val="24"/>
        </w:rPr>
        <w:t>℃</w:t>
      </w:r>
      <w:r>
        <w:rPr>
          <w:rFonts w:hint="eastAsia" w:ascii="Times New Roman" w:hAnsi="Times New Roman"/>
          <w:sz w:val="24"/>
        </w:rPr>
        <w:t>～</w:t>
      </w:r>
      <w:r>
        <w:rPr>
          <w:rFonts w:hint="eastAsia" w:ascii="Times New Roman" w:hAnsi="Times New Roman" w:cs="宋体"/>
          <w:kern w:val="0"/>
          <w:sz w:val="24"/>
          <w:lang w:bidi="ar"/>
        </w:rPr>
        <w:t>25</w:t>
      </w:r>
      <w:r>
        <w:rPr>
          <w:rFonts w:ascii="Times New Roman" w:hAnsi="Times New Roman"/>
          <w:sz w:val="24"/>
        </w:rPr>
        <w:t>℃</w:t>
      </w:r>
      <w:r>
        <w:rPr>
          <w:rFonts w:hint="eastAsia" w:ascii="Times New Roman" w:hAnsi="Times New Roman" w:cs="宋体"/>
          <w:kern w:val="0"/>
          <w:sz w:val="24"/>
          <w:lang w:bidi="ar"/>
        </w:rPr>
        <w:t>，在此温度下，植株光合作用与呼吸作用协调进行，能为茎蔓快速生长提供充足能量。夜间温度需在15</w:t>
      </w:r>
      <w:r>
        <w:rPr>
          <w:rFonts w:ascii="Times New Roman" w:hAnsi="Times New Roman"/>
          <w:sz w:val="24"/>
        </w:rPr>
        <w:t>℃</w:t>
      </w:r>
      <w:r>
        <w:rPr>
          <w:rFonts w:hint="eastAsia" w:ascii="Times New Roman" w:hAnsi="Times New Roman" w:cs="宋体"/>
          <w:kern w:val="0"/>
          <w:sz w:val="24"/>
          <w:lang w:bidi="ar"/>
        </w:rPr>
        <w:t>以上，促进营养物质积累。当白天温度超过30</w:t>
      </w:r>
      <w:r>
        <w:rPr>
          <w:rFonts w:ascii="Times New Roman" w:hAnsi="Times New Roman"/>
          <w:sz w:val="24"/>
        </w:rPr>
        <w:t>℃</w:t>
      </w:r>
      <w:r>
        <w:rPr>
          <w:rFonts w:hint="eastAsia" w:ascii="Times New Roman" w:hAnsi="Times New Roman" w:cs="宋体"/>
          <w:kern w:val="0"/>
          <w:sz w:val="24"/>
          <w:lang w:bidi="ar"/>
        </w:rPr>
        <w:t>时，应及时通风降温；下午温度降至26</w:t>
      </w:r>
      <w:r>
        <w:rPr>
          <w:rFonts w:ascii="Times New Roman" w:hAnsi="Times New Roman"/>
          <w:sz w:val="24"/>
        </w:rPr>
        <w:t>℃</w:t>
      </w:r>
      <w:r>
        <w:rPr>
          <w:rFonts w:hint="eastAsia" w:ascii="Times New Roman" w:hAnsi="Times New Roman" w:cs="宋体"/>
          <w:kern w:val="0"/>
          <w:sz w:val="24"/>
          <w:lang w:bidi="ar"/>
        </w:rPr>
        <w:t>时，关闭风口，以保持棚内温度相对稳定，利于植株生长。开花结果期：白天温度需维持在26</w:t>
      </w:r>
      <w:r>
        <w:rPr>
          <w:rFonts w:ascii="Times New Roman" w:hAnsi="Times New Roman"/>
          <w:sz w:val="24"/>
        </w:rPr>
        <w:t>℃</w:t>
      </w:r>
      <w:r>
        <w:rPr>
          <w:rFonts w:hint="eastAsia" w:ascii="Times New Roman" w:hAnsi="Times New Roman"/>
          <w:sz w:val="24"/>
        </w:rPr>
        <w:t>～</w:t>
      </w:r>
      <w:r>
        <w:rPr>
          <w:rFonts w:hint="eastAsia" w:ascii="Times New Roman" w:hAnsi="Times New Roman" w:cs="宋体"/>
          <w:kern w:val="0"/>
          <w:sz w:val="24"/>
          <w:lang w:bidi="ar"/>
        </w:rPr>
        <w:t>30</w:t>
      </w:r>
      <w:r>
        <w:rPr>
          <w:rFonts w:ascii="Times New Roman" w:hAnsi="Times New Roman"/>
          <w:sz w:val="24"/>
        </w:rPr>
        <w:t>℃</w:t>
      </w:r>
      <w:r>
        <w:rPr>
          <w:rFonts w:hint="eastAsia" w:ascii="Times New Roman" w:hAnsi="Times New Roman" w:cs="宋体"/>
          <w:kern w:val="0"/>
          <w:sz w:val="24"/>
          <w:lang w:bidi="ar"/>
        </w:rPr>
        <w:t>，这对花粉萌发、授粉受精以及果实初期发育极为关键。夜间温度保持在16</w:t>
      </w:r>
      <w:r>
        <w:rPr>
          <w:rFonts w:ascii="Times New Roman" w:hAnsi="Times New Roman"/>
          <w:sz w:val="24"/>
        </w:rPr>
        <w:t>℃</w:t>
      </w:r>
      <w:r>
        <w:rPr>
          <w:rFonts w:hint="eastAsia" w:ascii="Times New Roman" w:hAnsi="Times New Roman"/>
          <w:sz w:val="24"/>
        </w:rPr>
        <w:t>～</w:t>
      </w:r>
      <w:r>
        <w:rPr>
          <w:rFonts w:hint="eastAsia" w:ascii="Times New Roman" w:hAnsi="Times New Roman" w:cs="宋体"/>
          <w:kern w:val="0"/>
          <w:sz w:val="24"/>
          <w:lang w:bidi="ar"/>
        </w:rPr>
        <w:t>20</w:t>
      </w:r>
      <w:bookmarkStart w:id="4" w:name="_GoBack"/>
      <w:r>
        <w:rPr>
          <w:rFonts w:ascii="Times New Roman" w:hAnsi="Times New Roman"/>
          <w:sz w:val="24"/>
        </w:rPr>
        <w:t>℃</w:t>
      </w:r>
      <w:bookmarkEnd w:id="4"/>
      <w:r>
        <w:rPr>
          <w:rFonts w:hint="eastAsia" w:ascii="Times New Roman" w:hAnsi="Times New Roman" w:cs="宋体"/>
          <w:kern w:val="0"/>
          <w:sz w:val="24"/>
          <w:lang w:bidi="ar"/>
        </w:rPr>
        <w:t>，有助于果实糖分积累和品质提升。</w:t>
      </w:r>
    </w:p>
    <w:p>
      <w:pPr>
        <w:widowControl/>
        <w:ind w:firstLine="480"/>
        <w:jc w:val="left"/>
        <w:rPr>
          <w:rFonts w:cs="宋体"/>
          <w:kern w:val="0"/>
          <w:lang w:bidi="ar"/>
        </w:rPr>
      </w:pPr>
      <w:r>
        <w:rPr>
          <w:rFonts w:hint="eastAsia"/>
        </w:rPr>
        <w:t>条7.3.2对西瓜不同生长发育阶段的湿度提出要求。</w:t>
      </w:r>
      <w:r>
        <w:rPr>
          <w:rFonts w:ascii="宋体" w:hAnsi="宋体" w:cs="宋体"/>
          <w:kern w:val="0"/>
          <w:lang w:bidi="ar"/>
        </w:rPr>
        <w:t>设施内空气相对湿度应合理调控，白天保持在55％</w:t>
      </w:r>
      <w:r>
        <w:rPr>
          <w:rFonts w:hint="eastAsia"/>
        </w:rPr>
        <w:t>～</w:t>
      </w:r>
      <w:r>
        <w:rPr>
          <w:rFonts w:ascii="宋体" w:hAnsi="宋体" w:cs="宋体"/>
          <w:kern w:val="0"/>
          <w:lang w:bidi="ar"/>
        </w:rPr>
        <w:t>65％，这样的湿度条件既有利于植株光合作用，又能减少病害滋生。夜间湿度可适当提高至75％</w:t>
      </w:r>
      <w:r>
        <w:rPr>
          <w:rFonts w:hint="eastAsia"/>
        </w:rPr>
        <w:t>～</w:t>
      </w:r>
      <w:r>
        <w:rPr>
          <w:rFonts w:ascii="宋体" w:hAnsi="宋体" w:cs="宋体"/>
          <w:kern w:val="0"/>
          <w:lang w:bidi="ar"/>
        </w:rPr>
        <w:t>85％，但需注意避免湿度过高引发</w:t>
      </w:r>
      <w:r>
        <w:rPr>
          <w:rFonts w:cs="宋体"/>
          <w:kern w:val="0"/>
          <w:lang w:bidi="ar"/>
        </w:rPr>
        <w:t>病害，可通过通风、除湿设备等手段进行调节。</w:t>
      </w:r>
    </w:p>
    <w:p>
      <w:pPr>
        <w:widowControl/>
        <w:ind w:firstLine="480"/>
        <w:jc w:val="left"/>
        <w:rPr>
          <w:rFonts w:cs="宋体"/>
          <w:kern w:val="0"/>
          <w:lang w:bidi="ar"/>
        </w:rPr>
      </w:pPr>
      <w:r>
        <w:rPr>
          <w:rFonts w:hint="eastAsia"/>
        </w:rPr>
        <w:t>条7.3.3对西瓜不同生长发育阶段的水肥管理提出要求。</w:t>
      </w:r>
      <w:r>
        <w:rPr>
          <w:rFonts w:hint="eastAsia" w:cs="宋体"/>
          <w:kern w:val="0"/>
          <w:lang w:bidi="ar"/>
        </w:rPr>
        <w:t>浇水管理：采用膜下滴灌技术，该技术能精准控制水分供应，提高水分利用效率，同时减少棚内湿度。覆盖地膜后，遵循“湿而不涝、干而不旱”原则，依据植株长势、天气变化灵活调整浇水时间、间隔和浇水量。根据西瓜生长情况，及时且精准地调整施肥种类及用量。提苗肥：一般每667 m²施用量为6</w:t>
      </w:r>
      <w:r>
        <w:rPr>
          <w:rFonts w:hint="eastAsia" w:cs="宋体"/>
          <w:kern w:val="0"/>
          <w:lang w:val="en-US" w:eastAsia="zh-CN" w:bidi="ar"/>
        </w:rPr>
        <w:t xml:space="preserve"> </w:t>
      </w:r>
      <w:r>
        <w:rPr>
          <w:rFonts w:hint="eastAsia" w:cs="宋体"/>
          <w:kern w:val="0"/>
          <w:lang w:bidi="ar"/>
        </w:rPr>
        <w:t>kg</w:t>
      </w:r>
      <w:r>
        <w:rPr>
          <w:rFonts w:hint="eastAsia"/>
        </w:rPr>
        <w:t>～</w:t>
      </w:r>
      <w:r>
        <w:rPr>
          <w:rFonts w:hint="eastAsia" w:cs="宋体"/>
          <w:kern w:val="0"/>
          <w:lang w:bidi="ar"/>
        </w:rPr>
        <w:t>8 kg，以氮肥为主，搭配适量磷、钾肥，促进幼苗快速生长，增强植株活力。伸蔓肥：每667 m²使用尿素8 kg，过磷酸钙16 kg（磷肥建议底施），钾肥8 kg或同等养分含量的其它肥料进行冲施。此阶段施肥方针为重氮、少磷、轻钾，满足植株伸蔓期对养分的需求，促进茎蔓粗壮生长。膨瓜肥：当幼瓜长至鸡蛋大小时冲施，施用量为每667 m²尿素5 kg或磷酸二铵15</w:t>
      </w:r>
      <w:r>
        <w:rPr>
          <w:rFonts w:hint="eastAsia" w:cs="宋体"/>
          <w:kern w:val="0"/>
          <w:lang w:val="en-US" w:eastAsia="zh-CN" w:bidi="ar"/>
        </w:rPr>
        <w:t xml:space="preserve"> </w:t>
      </w:r>
      <w:r>
        <w:rPr>
          <w:rFonts w:hint="eastAsia" w:cs="宋体"/>
          <w:kern w:val="0"/>
          <w:lang w:bidi="ar"/>
        </w:rPr>
        <w:t>kg</w:t>
      </w:r>
      <w:r>
        <w:rPr>
          <w:rFonts w:hint="eastAsia"/>
        </w:rPr>
        <w:t>～</w:t>
      </w:r>
      <w:r>
        <w:rPr>
          <w:rFonts w:hint="eastAsia" w:cs="宋体"/>
          <w:kern w:val="0"/>
          <w:lang w:bidi="ar"/>
        </w:rPr>
        <w:t>20 kg，硫酸钾5</w:t>
      </w:r>
      <w:r>
        <w:rPr>
          <w:rFonts w:hint="eastAsia" w:cs="宋体"/>
          <w:kern w:val="0"/>
          <w:lang w:val="en-US" w:eastAsia="zh-CN" w:bidi="ar"/>
        </w:rPr>
        <w:t xml:space="preserve"> </w:t>
      </w:r>
      <w:r>
        <w:rPr>
          <w:rFonts w:hint="eastAsia" w:cs="宋体"/>
          <w:kern w:val="0"/>
          <w:lang w:bidi="ar"/>
        </w:rPr>
        <w:t>kg</w:t>
      </w:r>
      <w:r>
        <w:rPr>
          <w:rFonts w:hint="eastAsia"/>
        </w:rPr>
        <w:t>～</w:t>
      </w:r>
      <w:r>
        <w:rPr>
          <w:rFonts w:hint="eastAsia" w:cs="宋体"/>
          <w:kern w:val="0"/>
          <w:lang w:bidi="ar"/>
        </w:rPr>
        <w:t>7.5 kg；当西瓜长至碗口大小时，每667 m²追施尿素5</w:t>
      </w:r>
      <w:r>
        <w:rPr>
          <w:rFonts w:hint="eastAsia" w:cs="宋体"/>
          <w:kern w:val="0"/>
          <w:lang w:val="en-US" w:eastAsia="zh-CN" w:bidi="ar"/>
        </w:rPr>
        <w:t xml:space="preserve"> </w:t>
      </w:r>
      <w:r>
        <w:rPr>
          <w:rFonts w:hint="eastAsia" w:cs="宋体"/>
          <w:kern w:val="0"/>
          <w:lang w:bidi="ar"/>
        </w:rPr>
        <w:t>kg</w:t>
      </w:r>
      <w:r>
        <w:rPr>
          <w:rFonts w:hint="eastAsia"/>
        </w:rPr>
        <w:t>～</w:t>
      </w:r>
      <w:r>
        <w:rPr>
          <w:rFonts w:hint="eastAsia" w:cs="宋体"/>
          <w:kern w:val="0"/>
          <w:lang w:bidi="ar"/>
        </w:rPr>
        <w:t>7 kg、过磷酸钙3</w:t>
      </w:r>
      <w:r>
        <w:rPr>
          <w:rFonts w:hint="eastAsia" w:cs="宋体"/>
          <w:kern w:val="0"/>
          <w:lang w:val="en-US" w:eastAsia="zh-CN" w:bidi="ar"/>
        </w:rPr>
        <w:t xml:space="preserve"> </w:t>
      </w:r>
      <w:r>
        <w:rPr>
          <w:rFonts w:hint="eastAsia" w:cs="宋体"/>
          <w:kern w:val="0"/>
          <w:lang w:bidi="ar"/>
        </w:rPr>
        <w:t>kg</w:t>
      </w:r>
      <w:r>
        <w:rPr>
          <w:rFonts w:hint="eastAsia"/>
        </w:rPr>
        <w:t>～</w:t>
      </w:r>
      <w:r>
        <w:rPr>
          <w:rFonts w:hint="eastAsia" w:cs="宋体"/>
          <w:kern w:val="0"/>
          <w:lang w:bidi="ar"/>
        </w:rPr>
        <w:t>4 kg、硫酸钾10 kg或冲施同等养分含量的其它肥料。膨瓜期注重氮、磷、钾合理搭配，促进果实膨大、糖分积累和品质提升。</w:t>
      </w:r>
    </w:p>
    <w:p>
      <w:pPr>
        <w:widowControl/>
        <w:ind w:firstLine="480"/>
        <w:jc w:val="left"/>
        <w:rPr>
          <w:rFonts w:cs="宋体"/>
          <w:kern w:val="0"/>
          <w:lang w:bidi="ar"/>
        </w:rPr>
      </w:pPr>
      <w:r>
        <w:rPr>
          <w:rFonts w:hint="eastAsia" w:cs="宋体"/>
          <w:kern w:val="0"/>
          <w:lang w:bidi="ar"/>
        </w:rPr>
        <w:t>条7.3.4</w:t>
      </w:r>
      <w:r>
        <w:rPr>
          <w:rFonts w:hint="eastAsia"/>
        </w:rPr>
        <w:t>对西瓜的植株管理提出要求。其中整</w:t>
      </w:r>
      <w:r>
        <w:rPr>
          <w:rFonts w:hint="eastAsia" w:cs="宋体"/>
          <w:kern w:val="0"/>
          <w:lang w:bidi="ar"/>
        </w:rPr>
        <w:t>枝包括双蔓整枝和单蔓整枝，采用双蔓整枝方式时，需保留主蔓以及主蔓基部一条生长健壮的侧蔓。这两条蔓能够保证植株有足够的叶面积进行光合作用，为后续的开花结果提供充足的养分。而其余侧蔓应尽早摘除，避免过多的侧蔓生长消耗养分，影响主蔓和保留侧蔓的生长以及果实的发育。单蔓整枝则仅保留主蔓，将其他侧蔓在长出后及时摘除。这种整枝方式适用于种植密度较大或对果实早熟性要求较高的情况。同时，要及时摘除植株上的老叶、病叶和卷须。老叶和病叶不仅不能进行有效的光合作用，还可能成为病虫害滋生的场所，及时摘除可改善植株的通风透光条件，减少病虫害传播。卷须在生长过程中也会消耗一定的养分，且对植株的支撑作用有限，摘除卷须可使养分更集中地供应到果实和有效枝叶上。此外，对于过多的花朵和果实，要进行疏花疏果操作。疏花可在花朵开放前，去除发育不良、畸形或过多的花蕾；疏果则在幼果形成后，摘除弱小、畸形以及病虫害感染的果实，保证留下的果实能够获得充足的养分，生长发育良好。为提高西瓜的坐果率和果实品质，可采用蜜蜂辅助授粉。在使用蜜蜂授粉时，授粉技术参考DB11/T 887《设施西瓜蜜蜂授粉技术规范》的相关要求。一般在西瓜开花前2</w:t>
      </w:r>
      <w:r>
        <w:rPr>
          <w:rFonts w:hint="eastAsia" w:cs="宋体"/>
          <w:kern w:val="0"/>
          <w:lang w:val="en-US" w:eastAsia="zh-CN" w:bidi="ar"/>
        </w:rPr>
        <w:t xml:space="preserve"> 天</w:t>
      </w:r>
      <w:r>
        <w:rPr>
          <w:rFonts w:hint="eastAsia"/>
        </w:rPr>
        <w:t>～</w:t>
      </w:r>
      <w:r>
        <w:rPr>
          <w:rFonts w:hint="eastAsia" w:cs="宋体"/>
          <w:kern w:val="0"/>
          <w:lang w:bidi="ar"/>
        </w:rPr>
        <w:t>3 天，将蜂箱放置在距离瓜田较近且避风、向阳的位置，蜂箱开口朝向瓜田。蜂箱内蜜蜂数量要根据瓜田面积合理配置，通常每公顷瓜田放置3箱</w:t>
      </w:r>
      <w:r>
        <w:rPr>
          <w:rFonts w:hint="eastAsia"/>
        </w:rPr>
        <w:t>～</w:t>
      </w:r>
      <w:r>
        <w:rPr>
          <w:rFonts w:hint="eastAsia" w:cs="宋体"/>
          <w:kern w:val="0"/>
          <w:lang w:bidi="ar"/>
        </w:rPr>
        <w:t>5箱蜜蜂较为适宜。在蜜蜂授粉期间，要注意避免使用对蜜蜂有害的农药，如需防治病虫害，可选择在蜜蜂活动较少的清晨或傍晚进行，且要选用低毒、低残留且对蜜蜂安全的农药品种；对于早熟品种，通常在主蔓的第12</w:t>
      </w:r>
      <w:r>
        <w:rPr>
          <w:rFonts w:hint="eastAsia" w:cs="宋体"/>
          <w:kern w:val="0"/>
          <w:lang w:val="en-US" w:eastAsia="zh-CN" w:bidi="ar"/>
        </w:rPr>
        <w:t xml:space="preserve"> </w:t>
      </w:r>
      <w:r>
        <w:rPr>
          <w:rFonts w:hint="eastAsia" w:cs="宋体"/>
          <w:kern w:val="0"/>
          <w:lang w:bidi="ar"/>
        </w:rPr>
        <w:t>节</w:t>
      </w:r>
      <w:r>
        <w:rPr>
          <w:rFonts w:hint="eastAsia"/>
        </w:rPr>
        <w:t>～</w:t>
      </w:r>
      <w:r>
        <w:rPr>
          <w:rFonts w:hint="eastAsia" w:cs="宋体"/>
          <w:kern w:val="0"/>
          <w:lang w:bidi="ar"/>
        </w:rPr>
        <w:t>15</w:t>
      </w:r>
      <w:r>
        <w:rPr>
          <w:rFonts w:hint="eastAsia" w:cs="宋体"/>
          <w:kern w:val="0"/>
          <w:lang w:val="en-US" w:eastAsia="zh-CN" w:bidi="ar"/>
        </w:rPr>
        <w:t xml:space="preserve"> </w:t>
      </w:r>
      <w:r>
        <w:rPr>
          <w:rFonts w:hint="eastAsia" w:cs="宋体"/>
          <w:kern w:val="0"/>
          <w:lang w:bidi="ar"/>
        </w:rPr>
        <w:t>节留瓜较为合适，即第2雌花。这个节位的果实能够在相对较短的时间内成熟，且果实品质较好。中晚熟品种则在主蔓的第20</w:t>
      </w:r>
      <w:r>
        <w:rPr>
          <w:rFonts w:hint="eastAsia" w:cs="宋体"/>
          <w:kern w:val="0"/>
          <w:lang w:val="en-US" w:eastAsia="zh-CN" w:bidi="ar"/>
        </w:rPr>
        <w:t xml:space="preserve"> </w:t>
      </w:r>
      <w:r>
        <w:rPr>
          <w:rFonts w:hint="eastAsia" w:cs="宋体"/>
          <w:kern w:val="0"/>
          <w:lang w:bidi="ar"/>
        </w:rPr>
        <w:t>节</w:t>
      </w:r>
      <w:r>
        <w:rPr>
          <w:rFonts w:hint="eastAsia"/>
        </w:rPr>
        <w:t>～</w:t>
      </w:r>
      <w:r>
        <w:rPr>
          <w:rFonts w:hint="eastAsia" w:cs="宋体"/>
          <w:kern w:val="0"/>
          <w:lang w:bidi="ar"/>
        </w:rPr>
        <w:t>25</w:t>
      </w:r>
      <w:r>
        <w:rPr>
          <w:rFonts w:hint="eastAsia" w:cs="宋体"/>
          <w:kern w:val="0"/>
          <w:lang w:val="en-US" w:eastAsia="zh-CN" w:bidi="ar"/>
        </w:rPr>
        <w:t xml:space="preserve"> </w:t>
      </w:r>
      <w:r>
        <w:rPr>
          <w:rFonts w:hint="eastAsia" w:cs="宋体"/>
          <w:kern w:val="0"/>
          <w:lang w:bidi="ar"/>
        </w:rPr>
        <w:t>节留瓜，多为第2或第3雌花。留瓜节位并非固定不变，会受到多种因素影响。当处于低温环境、肥料供应不足、光照较弱或者植株生长势较差的情况下，为保证果实能够正常发育，可适当延后留瓜节位。相反，若环境条件优越，如温度适宜、肥料充足、光照良好且植株生长健壮，留瓜节位可提前。选留优质果实，对于畸形果，如扁形果、尖嘴果、葫芦形果等，应及时摘除。</w:t>
      </w:r>
      <w:r>
        <w:rPr>
          <w:rFonts w:hint="eastAsia"/>
        </w:rPr>
        <w:t>设施西瓜全产业链</w:t>
      </w:r>
      <w:r>
        <w:rPr>
          <w:rFonts w:hint="eastAsia" w:cs="宋体"/>
          <w:kern w:val="0"/>
          <w:lang w:bidi="ar"/>
        </w:rPr>
        <w:t>形果的形成可能是由于授粉不良、养分供应不均或受到病虫害侵害等原因，继续保留不仅会影响果实品质，还会消耗植株养分，不利于其他优质果实的生长。通过严格选留果实，可保证西瓜的商品性和产量。</w:t>
      </w:r>
    </w:p>
    <w:p>
      <w:pPr>
        <w:ind w:firstLine="480"/>
        <w:rPr>
          <w:rFonts w:cs="Arial"/>
        </w:rPr>
      </w:pPr>
      <w:r>
        <w:rPr>
          <w:rFonts w:hint="eastAsia" w:cs="Arial"/>
        </w:rPr>
        <w:t>条7.4指出了设施西瓜栽培管理过程中如何进行病虫害防控。病虫害防控是设施西瓜生产质量安全的重要控制措施，能够有效地保障设施西瓜的质量安全。病虫害的防治措施分为农业防治、物理防治、化学防治以及生物防治等。病虫害防治遵循“预防为主、综合防治”原则。优先运用农业、物理、生物防治手段，在必要时科学合理使用化学防治。农业防治方法包括选用抗病品种、实行轮作、避免连作、合理密植、保持田间良好通风透光条件、降低湿度、及时清除病株、病叶和杂草，加强田间管理，合理施肥浇水等，增强植株抗病虫能力。物理防治包括利用黄板诱杀蚜虫、白粉虱等害虫，蓝板诱杀蓟马，设置防虫网，采用灯光诱杀等。生物防治可以利用释放天敌防治害虫，使用生物源农药等。要按照附录C中西瓜主要病虫害生物农药及使用方法进行操作，严格掌握用药剂量和时间。使用化学防治时，选择登记在西瓜上的化学农药品种，按照附录D中的施用方法进行施药。药剂使用严格遵循GB/T 8321（所有部分）《农药合理使用准则》及GB 12475《农药贮运、销售和使用的防毒规程》的规定，确保用药安全、有效。在绿色食品生产基地，用药需符合NY/T 393《绿色食品农药使用准则》的相关要求，优先选择低毒、低残留农药。农药包装废弃物按照NY/T 1276《农药安全使用规范 总则》的相关要求处理，避免环境污染。</w:t>
      </w:r>
    </w:p>
    <w:p>
      <w:pPr>
        <w:ind w:firstLine="480"/>
        <w:rPr>
          <w:rFonts w:cs="Arial"/>
        </w:rPr>
      </w:pPr>
      <w:r>
        <w:rPr>
          <w:rFonts w:hint="eastAsia" w:cs="Arial"/>
        </w:rPr>
        <w:t>条7.5规定了西瓜采收要点。其中采收前准备，需严格控制水肥施用避免过多的水分和肥料会稀释果实内的糖分等可溶性固形物，影响果实品质；采收成熟度把握，根据销售目的地不同，选择合适的成熟度采收。当地销售的西瓜，以9成至9成半熟时采收为佳。此时果实内可溶性固形物含量达到最高，口感、风味最佳，能最大程度满足消费者对品质的要求。而用于外运的西瓜，考虑到运输过程中的颠簸和储存时间，以8成熟采收为宜。8成熟的西瓜硬度相对较高，能更好抵抗运输过程中的机械损伤，同时在运输和储存过程中，果实还能继续完成后熟过程，保持较好品质；成熟果实判断，成熟果实具有明显特征。从外观上看，果皮花纹清晰，色泽光亮，表明果实充分发育；果脐向内凹陷，果柄基部略有收缩；用手拍打果实，发出浊音的为熟瓜，清脆音则表明果实未成熟。此外，果柄上部收缩，下部茸毛基本脱净也是成熟的标志之一。通过综合判断这些特征，可准确识别西瓜是否成熟，避免过早或过晚采收；采收操作时，采收宜在早上露水干后或傍晚进行。早上露水干后，果实表面干爽，可减少病菌随露水侵染果实的风险。傍晚温度较低，果实呼吸作用较弱，有利于保鲜；采收过程中，仔细剔除病果、劣果。病果可能携带病菌，会传染给其他健康果实，劣果影响销售品质。同时，在搬运、放置西瓜过程中，要小心操作，避免机械损伤。机械损伤易导致果实腐烂，降低商品价值。</w:t>
      </w:r>
    </w:p>
    <w:p>
      <w:pPr>
        <w:numPr>
          <w:ilvl w:val="0"/>
          <w:numId w:val="4"/>
        </w:numPr>
        <w:ind w:firstLine="482"/>
        <w:rPr>
          <w:rFonts w:cs="Arial"/>
          <w:b/>
          <w:bCs/>
        </w:rPr>
      </w:pPr>
      <w:r>
        <w:rPr>
          <w:rFonts w:hint="eastAsia" w:cs="Arial"/>
          <w:b/>
          <w:bCs/>
        </w:rPr>
        <w:t>等级规格与包装</w:t>
      </w:r>
    </w:p>
    <w:p>
      <w:pPr>
        <w:ind w:firstLine="480"/>
      </w:pPr>
      <w:r>
        <w:rPr>
          <w:rFonts w:hint="eastAsia"/>
        </w:rPr>
        <w:t>本部分规定了设施西瓜的等级规格要求、试验方法、抽样规则、包装和标识等，适用于鲜食设施西瓜分级包装和评价。</w:t>
      </w:r>
    </w:p>
    <w:p>
      <w:pPr>
        <w:ind w:firstLine="480"/>
        <w:rPr>
          <w:snapToGrid w:val="0"/>
        </w:rPr>
      </w:pPr>
      <w:r>
        <w:rPr>
          <w:rFonts w:hint="eastAsia"/>
        </w:rPr>
        <w:t>条8.1等级规格要求中，从外观（果形、皮色、瓤色、成熟度、洁净度、单果重量）、理化指标（可溶性固形物、果皮厚度）等方面，明确了设施西瓜的等级划分。在符合基本要求的前提下，按外观品质要求分为特级、一级、二级。其中可溶性固形物的分级标准参考GB/T 27659《无籽西瓜分等分级》、GH/T 1153 《西瓜》、NY/T 584《西瓜(含无子西瓜)》、GB/T 22446《地理标志产品 大兴西瓜》中的相关规定，明确了特级、一级、二级西瓜，可溶性固形物和果皮厚度分级阈值以及</w:t>
      </w:r>
      <w:r>
        <w:rPr>
          <w:rFonts w:hint="eastAsia"/>
          <w:snapToGrid w:val="0"/>
        </w:rPr>
        <w:t>条8.1.2中规格划分。</w:t>
      </w:r>
      <w:r>
        <w:rPr>
          <w:rFonts w:hint="eastAsia"/>
          <w:snapToGrid w:val="0"/>
          <w:lang w:val="en-US" w:eastAsia="zh-CN"/>
        </w:rPr>
        <w:t>其中，瓜瓤中心可溶性固形物</w:t>
      </w:r>
      <w:r>
        <w:rPr>
          <w:rFonts w:hint="eastAsia"/>
        </w:rPr>
        <w:t>和果皮厚度</w:t>
      </w:r>
      <w:r>
        <w:rPr>
          <w:rFonts w:hint="eastAsia"/>
          <w:snapToGrid w:val="0"/>
          <w:lang w:val="en-US" w:eastAsia="zh-CN"/>
        </w:rPr>
        <w:t>分级标准参考</w:t>
      </w:r>
      <w:r>
        <w:rPr>
          <w:rFonts w:hint="eastAsia"/>
        </w:rPr>
        <w:t>GH/T 1153 《西瓜》</w:t>
      </w:r>
      <w:r>
        <w:rPr>
          <w:rFonts w:hint="eastAsia"/>
          <w:lang w:eastAsia="zh-CN"/>
        </w:rPr>
        <w:t>，</w:t>
      </w:r>
      <w:r>
        <w:rPr>
          <w:rFonts w:hint="eastAsia"/>
          <w:snapToGrid w:val="0"/>
          <w:lang w:val="en-US" w:eastAsia="zh-CN"/>
        </w:rPr>
        <w:t>瓜瓤边缘可溶性固形物分级标准部分参考自</w:t>
      </w:r>
      <w:r>
        <w:rPr>
          <w:rFonts w:hint="eastAsia"/>
        </w:rPr>
        <w:t>G</w:t>
      </w:r>
      <w:r>
        <w:rPr>
          <w:rFonts w:hint="eastAsia"/>
          <w:lang w:val="en-US" w:eastAsia="zh-CN"/>
        </w:rPr>
        <w:t>B</w:t>
      </w:r>
      <w:r>
        <w:rPr>
          <w:rFonts w:hint="eastAsia"/>
        </w:rPr>
        <w:t xml:space="preserve">/T </w:t>
      </w:r>
      <w:r>
        <w:rPr>
          <w:rFonts w:hint="eastAsia"/>
          <w:lang w:val="en-US" w:eastAsia="zh-CN"/>
        </w:rPr>
        <w:t>22446</w:t>
      </w:r>
      <w:r>
        <w:rPr>
          <w:rFonts w:hint="eastAsia"/>
        </w:rPr>
        <w:t xml:space="preserve"> 《</w:t>
      </w:r>
      <w:r>
        <w:rPr>
          <w:rFonts w:hint="eastAsia"/>
          <w:lang w:val="en-US" w:eastAsia="zh-CN"/>
        </w:rPr>
        <w:t>地理标志产品 大兴</w:t>
      </w:r>
      <w:r>
        <w:rPr>
          <w:rFonts w:hint="eastAsia"/>
        </w:rPr>
        <w:t>西瓜》</w:t>
      </w:r>
      <w:r>
        <w:rPr>
          <w:rFonts w:hint="eastAsia"/>
          <w:lang w:eastAsia="zh-CN"/>
        </w:rPr>
        <w:t>，</w:t>
      </w:r>
      <w:r>
        <w:rPr>
          <w:rFonts w:hint="eastAsia"/>
          <w:snapToGrid w:val="0"/>
        </w:rPr>
        <w:t>条8.1.2中规格划分</w:t>
      </w:r>
      <w:r>
        <w:rPr>
          <w:rFonts w:hint="eastAsia"/>
          <w:snapToGrid w:val="0"/>
          <w:lang w:val="en-US" w:eastAsia="zh-CN"/>
        </w:rPr>
        <w:t>参考DB32/T 2015《</w:t>
      </w:r>
      <w:r>
        <w:rPr>
          <w:rFonts w:ascii="宋体" w:hAnsi="宋体" w:eastAsia="宋体" w:cs="宋体"/>
          <w:sz w:val="24"/>
          <w:szCs w:val="24"/>
        </w:rPr>
        <w:t>西瓜的等级规格</w:t>
      </w:r>
      <w:r>
        <w:rPr>
          <w:rFonts w:hint="eastAsia" w:ascii="宋体" w:hAnsi="宋体" w:cs="宋体"/>
          <w:sz w:val="24"/>
          <w:szCs w:val="24"/>
          <w:lang w:eastAsia="zh-CN"/>
        </w:rPr>
        <w:t>》。</w:t>
      </w:r>
      <w:r>
        <w:rPr>
          <w:rFonts w:hint="eastAsia"/>
          <w:snapToGrid w:val="0"/>
        </w:rPr>
        <w:t>条8.1.3安全指标中明确了西瓜中污染物、农药残留、微生物指标，按照</w:t>
      </w:r>
      <w:r>
        <w:rPr>
          <w:rFonts w:hint="eastAsia"/>
        </w:rPr>
        <w:t>GB 2762</w:t>
      </w:r>
      <w:r>
        <w:rPr>
          <w:rFonts w:hint="eastAsia"/>
          <w:snapToGrid w:val="0"/>
        </w:rPr>
        <w:t>《</w:t>
      </w:r>
      <w:r>
        <w:rPr>
          <w:rFonts w:hint="eastAsia"/>
        </w:rPr>
        <w:t>食品安全国家标准</w:t>
      </w:r>
      <w:r>
        <w:t xml:space="preserve"> 食品中污染物限量</w:t>
      </w:r>
      <w:r>
        <w:rPr>
          <w:rFonts w:hint="eastAsia"/>
        </w:rPr>
        <w:t>》、</w:t>
      </w:r>
      <w:r>
        <w:t>GB 2763</w:t>
      </w:r>
      <w:r>
        <w:rPr>
          <w:rFonts w:hint="eastAsia"/>
        </w:rPr>
        <w:t>《食品安全国家标准</w:t>
      </w:r>
      <w:r>
        <w:t xml:space="preserve"> 食品中农药最大残留限量</w:t>
      </w:r>
      <w:r>
        <w:rPr>
          <w:rFonts w:hint="eastAsia"/>
        </w:rPr>
        <w:t>》和GB 29921《食品安全国家标准</w:t>
      </w:r>
      <w:r>
        <w:t xml:space="preserve"> 预包装食品中致病菌限量</w:t>
      </w:r>
      <w:r>
        <w:rPr>
          <w:rFonts w:hint="eastAsia"/>
        </w:rPr>
        <w:t>》</w:t>
      </w:r>
      <w:r>
        <w:rPr>
          <w:rFonts w:hint="eastAsia"/>
          <w:snapToGrid w:val="0"/>
        </w:rPr>
        <w:t>中的规定执行。</w:t>
      </w:r>
    </w:p>
    <w:p>
      <w:pPr>
        <w:ind w:firstLine="480"/>
        <w:rPr>
          <w:snapToGrid w:val="0"/>
        </w:rPr>
      </w:pPr>
      <w:r>
        <w:rPr>
          <w:rFonts w:hint="eastAsia"/>
          <w:snapToGrid w:val="0"/>
        </w:rPr>
        <w:t>条8.2试验方法中规定了可溶性固形物检测和果皮厚度的测定方法。检测可溶性固形物时，将所抽检的西瓜样品从阴阳交界处纵向剖开，精准测量果肉中心部位。具体测量过程严格按照GB/T 12143《饮料通用分析方法》的规定进行。该标准详细规定了使用折光仪等仪器进行检测的操作步骤、校准方法以及结果计算方式等，确保检测结果准确可靠，能真实反映西瓜的含糖量等可溶性固形物水平。测定果皮厚度时，把果实从阴阳交界面纵向剖开，小心去除可食部分，仅留下果皮。随后，使用游标卡尺测量果实中部果皮的厚度，测量结果精确到小数点后一位。测量时多次测量取平均值，以提高测量的准确性。</w:t>
      </w:r>
    </w:p>
    <w:p>
      <w:pPr>
        <w:ind w:firstLine="480"/>
        <w:rPr>
          <w:snapToGrid w:val="0"/>
        </w:rPr>
      </w:pPr>
      <w:r>
        <w:rPr>
          <w:rFonts w:hint="eastAsia"/>
          <w:snapToGrid w:val="0"/>
        </w:rPr>
        <w:t>条8.3抽样规则明确了检验批次、抽样方法、抽样数量及规则。划分批次有助于对西瓜的质量进行有效追溯和管理，保证同一批次产品质量的相对一致性。以一个检验批次作为一个抽样批次。抽样的样品必须具备代表性，需在全批货物的不同部位随机抽取，确保所抽样品能反映整批西瓜的真实质量状况。抽样数量与货物的总量相适应，通过合理的抽样数量规定，既能保证对产品质量有较为准确的评估，又能在一定程度上控制检测成本和工作量。抽样和判定规则按NY/T 《584 西瓜(含无子西瓜)》的规定执行，确保了对西瓜等级评定的准确性与严谨性，为市场流通的西瓜质量提供可靠依据。</w:t>
      </w:r>
    </w:p>
    <w:p>
      <w:pPr>
        <w:ind w:firstLine="480"/>
        <w:rPr>
          <w:snapToGrid w:val="0"/>
        </w:rPr>
      </w:pPr>
      <w:r>
        <w:rPr>
          <w:rFonts w:hint="eastAsia"/>
          <w:snapToGrid w:val="0"/>
        </w:rPr>
        <w:t>条8.4包装和标识规定了包装材料、包装规格、分级包装和标识要求。其中包装材料应符合GB 7718《食品安全国家标准 预包装食品标签通则》、GB 9687 《食品包装用聚乙烯成型品卫生标准》和GB 9693《食品包装用聚丙烯树脂卫生标准》的规定。确保包装上的信息准确、清晰、完整，方便消费者了解产品相关信息。且从卫生安全角度保障西瓜包装材料不会对西瓜品质和消费者健康造成不良影响；根据西瓜果型大小确定包装规格，确保既能充分利用包装空间，又使西瓜运输和储存过程中不会因过度挤压或晃动而受损；西瓜应严格按等级分别包装，每一包装箱内只能装同一等级的西瓜，避免不同等级西瓜混淆；西瓜在销售前，应当附加承诺达标合格证等标识。标识内容应全面，包含产品数量、品名、品种、产地、生产者、生产日期、保质期、产品质量等级等内容。可追溯西瓜的来源，增强消费者对产品的信任。</w:t>
      </w:r>
    </w:p>
    <w:p>
      <w:pPr>
        <w:pStyle w:val="5"/>
        <w:numPr>
          <w:ilvl w:val="0"/>
          <w:numId w:val="4"/>
        </w:numPr>
        <w:spacing w:before="163"/>
        <w:ind w:firstLine="482" w:firstLineChars="200"/>
      </w:pPr>
      <w:r>
        <w:rPr>
          <w:rFonts w:hint="eastAsia"/>
        </w:rPr>
        <w:t>贮存</w:t>
      </w:r>
      <w:r>
        <w:rPr>
          <w:rFonts w:hint="eastAsia"/>
          <w:lang w:val="en-US" w:eastAsia="zh-CN"/>
        </w:rPr>
        <w:t>与</w:t>
      </w:r>
      <w:r>
        <w:rPr>
          <w:rFonts w:hint="eastAsia"/>
        </w:rPr>
        <w:t>运输</w:t>
      </w:r>
    </w:p>
    <w:p>
      <w:pPr>
        <w:ind w:firstLine="480"/>
      </w:pPr>
      <w:bookmarkStart w:id="2" w:name="OLE_LINK2"/>
      <w:bookmarkStart w:id="3" w:name="OLE_LINK1"/>
      <w:r>
        <w:rPr>
          <w:rFonts w:hint="eastAsia"/>
        </w:rPr>
        <w:t>西瓜采收后，应迅速组织调运或贮存工作。需严格按果实的成熟度以及不同规格，将产品分别存放。对于临时贮藏的西瓜，适宜选择在阴凉、通风且干净的场所。在堆放时，要严格按照规定堆码整齐，堆码高度不宜过高，防止下层西瓜受到过度挤压而造成损伤。同时，必须严防西瓜遭受日晒和雨淋。日晒会使西瓜温度升高，加速果实的呼吸作用，导致糖分消耗加快，品质下降；雨淋则可能引发果实表面病菌滋生，造成腐烂。运输工具务必保持清洁、干燥。严禁将西瓜与有毒、有害、有异味的物品混合存放与运输，以免西瓜受到污染，影响品质和食用安全。在装卸和运输过程中，要做到轻装轻放，避免因粗暴操作导致西瓜碰撞、挤压而受损。当运输散装瓜时，运输工具的底部及四周与果实接触的部位，应添加柔软的铺垫物，如泡沫板、草垫等，以此防止机械损伤。此外，运输用的车辆、工具、铺垫物等，都应保证清洁、干燥、无污染。每次运输前后，需对运输工具和铺垫物进行清洁和消毒处理，运输车辆可定期进行清洗和通风，铺垫物若有损坏或污染，应及时更换，确保运输过程中西瓜处于良好的环境，维持其品质稳定。</w:t>
      </w:r>
    </w:p>
    <w:bookmarkEnd w:id="2"/>
    <w:bookmarkEnd w:id="3"/>
    <w:p>
      <w:pPr>
        <w:pStyle w:val="5"/>
        <w:numPr>
          <w:ilvl w:val="0"/>
          <w:numId w:val="4"/>
        </w:numPr>
        <w:spacing w:before="163"/>
        <w:ind w:left="0" w:leftChars="0" w:firstLine="482" w:firstLineChars="200"/>
        <w:rPr>
          <w:rFonts w:cs="Arial"/>
          <w:highlight w:val="lightGray"/>
        </w:rPr>
      </w:pPr>
      <w:r>
        <w:rPr>
          <w:rFonts w:hint="eastAsia"/>
        </w:rPr>
        <w:t>质量控制</w:t>
      </w:r>
    </w:p>
    <w:p>
      <w:pPr>
        <w:ind w:firstLine="480"/>
        <w:rPr>
          <w:rFonts w:cs="Arial"/>
        </w:rPr>
      </w:pPr>
      <w:r>
        <w:rPr>
          <w:rFonts w:hint="eastAsia" w:cs="Arial"/>
        </w:rPr>
        <w:t>本部分对组织管理、</w:t>
      </w:r>
      <w:r>
        <w:rPr>
          <w:rFonts w:hint="eastAsia"/>
        </w:rPr>
        <w:t>农业投入品管理、废弃物管理、产品质量管理和内部自查</w:t>
      </w:r>
      <w:r>
        <w:rPr>
          <w:rFonts w:hint="eastAsia" w:cs="Arial"/>
        </w:rPr>
        <w:t>进行了要求，主要参考了NY/T 4247</w:t>
      </w:r>
      <w:r>
        <w:rPr>
          <w:rFonts w:hint="eastAsia" w:cs="Arial"/>
          <w:lang w:eastAsia="zh-CN"/>
        </w:rPr>
        <w:t>—</w:t>
      </w:r>
      <w:r>
        <w:rPr>
          <w:rFonts w:hint="eastAsia" w:cs="Arial"/>
        </w:rPr>
        <w:t>2022《</w:t>
      </w:r>
      <w:r>
        <w:rPr>
          <w:rFonts w:ascii="宋体" w:hAnsi="宋体" w:cs="宋体"/>
        </w:rPr>
        <w:t>设施西瓜生产全程质量控制技术规范</w:t>
      </w:r>
      <w:r>
        <w:rPr>
          <w:rFonts w:hint="eastAsia" w:cs="Arial"/>
        </w:rPr>
        <w:t>》中对应部分的相关要求。本标准在组织管理、</w:t>
      </w:r>
      <w:r>
        <w:rPr>
          <w:rFonts w:hint="eastAsia"/>
        </w:rPr>
        <w:t>农业投入品管理、废弃物管理</w:t>
      </w:r>
      <w:r>
        <w:rPr>
          <w:rFonts w:hint="eastAsia" w:cs="Arial"/>
        </w:rPr>
        <w:t>部分详细分条列举了各方面内容，更加精简和清晰。</w:t>
      </w:r>
    </w:p>
    <w:p>
      <w:pPr>
        <w:ind w:firstLine="480"/>
      </w:pPr>
      <w:r>
        <w:rPr>
          <w:rFonts w:hint="eastAsia"/>
        </w:rPr>
        <w:t>条10.1组织管理包括组织机构与形式、人员管理、制度管理和生产记录。</w:t>
      </w:r>
      <w:r>
        <w:rPr>
          <w:rFonts w:hint="eastAsia" w:cs="Arial"/>
        </w:rPr>
        <w:t>农产品生产者应建立与生产规模相适应的组织机构，明确各管理部门和岗位职责，确保生产、加工、销售、质量管理、检验等专人负责，使设施西瓜生产过程的质量安全得到保障。员工是设施西瓜生产体系的关键，作为生产中各种设施的操作者，其工作直接决定设施西瓜生产的质量安全，是设施西瓜生产顺利进行的基本保障。应</w:t>
      </w:r>
      <w:r>
        <w:rPr>
          <w:rFonts w:hint="eastAsia"/>
        </w:rPr>
        <w:t>具备相应专业知识的技术人员，负责技术操作规程制定、技术指导、技术培训等工作。有熟知西瓜生产相关知识的质量安全管理人员，负责生产过程质量管理与控制。应对所有人员进行基本的公共卫生和质量安全基础知识培训。从事品种选择、栽培管理、病虫害防治、农业投入品管理、采收分级、包装标识等西瓜生产关键岗位的人员应进行相关技术培训。</w:t>
      </w:r>
      <w:r>
        <w:rPr>
          <w:rFonts w:hint="eastAsia" w:cs="Arial"/>
        </w:rPr>
        <w:t>此外，需要关注员工的职业健康，</w:t>
      </w:r>
      <w:r>
        <w:rPr>
          <w:rFonts w:hint="eastAsia"/>
        </w:rPr>
        <w:t>每个西瓜生产区域应至少配备1名受过应急救护培训、并具有应急处理能力的人员。应为从事农药等投入品使用的工作人员提供必要的防护条件（如胶靴、防护服、橡胶手套、面罩等）。直接接触西瓜采收、分级和包装的人员应身体健康，并定期体检。应建立和保存所有人员的健康档案、相关能力、教育和专业资格，培训等记录。</w:t>
      </w:r>
    </w:p>
    <w:p>
      <w:pPr>
        <w:ind w:firstLine="480"/>
      </w:pPr>
      <w:r>
        <w:rPr>
          <w:rFonts w:hint="eastAsia"/>
        </w:rPr>
        <w:t>条10.2农业投入品包括采购、储存、使用、废弃物管理。农产品质量安全法》要求“农产品生产经营者应当依照有关法律、行政法规和国家有关强制性标准、国务院农业农村主管部门的规定，科学合理使用农药、兽药、饲料和饲料添加剂、肥料等农业投入品，严格执行农业投入品使用安全间隔期或者休药期的规定；不得超范围、超剂量使用农业投入品危及农产品质量安全。禁止在农产品生产经营过程中使用国家禁止使用的农业投入品以及其他有毒有害物质”。农业投入品是关系农产品质量安全的重要因素，严格规范农业投入品的使用十分必要。农质管函〔2020〕227号要求“通过正规渠道购买农业投入品，不购买、使用、贮存国家禁停用的农业投入品，索取并保存购买凭据等证明资料”。《农药标签和说明书管理办法》第八条规定，农药标签应当标注农药登记证号、产品质量标准号以及农药生产许可证号。不应采购超过保质期以及国家禁止使用的农药。</w:t>
      </w:r>
    </w:p>
    <w:p>
      <w:pPr>
        <w:ind w:firstLine="0" w:firstLineChars="0"/>
      </w:pPr>
      <w:r>
        <w:rPr>
          <w:rFonts w:hint="eastAsia"/>
        </w:rPr>
        <w:t>农业投入品不与农产品混存混放。不同种类的投入品应按产品标签规定的储存条件分类分区存放，可采用隔离方式防止交叉污染。储存仓库应符合防火、清洁、避光、防腐、通风、温湿度适宜等安全条件，配有急救药箱，出入处贴有警示标志。同时，投入品应有专人管理，建立并保存入库、出库和领用记录。农业投入品生产主体应配有具备一定专业知识和技术能力的农技人员指导员工规范生产，遵守投入品使用要求，选择合适的施用器械，适时、适量、科学合理使用投入品，做好投入品使用记录。对于不仅与设施西瓜质量安全密切相关，还涉及人畜安全以及保护农业、林业生产和生态环境安全的农药，需要按照《农药管理条例》、《农药安全使用规范 总则》（NY/T 1276）的要求规范使用。农药应有专用配制区域，并有相应的配药设施。配制区域应远离水源、居所、畜牧场、水产养殖场等。农药配制、施用、安全防护、施用后处理等操作按NY/T 1276的规定执行。</w:t>
      </w:r>
    </w:p>
    <w:p>
      <w:pPr>
        <w:ind w:firstLine="480"/>
        <w:rPr>
          <w:rFonts w:cs="Arial"/>
        </w:rPr>
      </w:pPr>
      <w:r>
        <w:rPr>
          <w:rFonts w:hint="eastAsia"/>
        </w:rPr>
        <w:t>条10.3废弃物管理</w:t>
      </w:r>
      <w:r>
        <w:rPr>
          <w:rFonts w:hint="eastAsia" w:cs="Arial"/>
        </w:rPr>
        <w:t>对西瓜种植过程中废弃物的分类存放和处置进行了要求，要求对不同废弃物进行分类存放并进行相应的处置，从而避免不同废弃物交叉混合，导致处理不彻底，造成农业环境污染。设施西瓜生产过程中使用农膜，应对可再次使用的农膜，进行回收保存，对不可再生农膜应按照要求进行回收和处理，不可在农田地块随意堆放，防止残存的农膜对农业环境造成危害，参考NY/T 1224《农用塑料膜安全使用控制技术规范》。</w:t>
      </w:r>
    </w:p>
    <w:p>
      <w:pPr>
        <w:ind w:firstLine="480"/>
        <w:rPr>
          <w:rFonts w:cs="Arial"/>
        </w:rPr>
      </w:pPr>
      <w:r>
        <w:rPr>
          <w:rFonts w:hint="eastAsia" w:cs="Arial"/>
        </w:rPr>
        <w:t>条10.4对产品质量管理的合格管理、追溯管理和投诉处理进行了要求。西瓜投入市场前应进行抽样检测，保证产品合格，污染物和农药残留应严格按照国家标准限量执行GB 2762《食品安全国家标准 食品中污染物限量》GB 2763《食品中农药最大残留限量标准》，从而保证西瓜的安全和质量。同时，应建立西瓜可追溯体系，在出现质量安全等问题时，可即时追回，减少市场的流入和食用的危害。可参考GB/T 29373《农产品追溯要求 果蔬》。同时，对追溯管理部分建立生产记录和方案，保存时间2年以上。</w:t>
      </w:r>
    </w:p>
    <w:p>
      <w:pPr>
        <w:ind w:firstLine="480"/>
        <w:rPr>
          <w:rFonts w:cs="Arial"/>
        </w:rPr>
      </w:pPr>
      <w:r>
        <w:rPr>
          <w:rFonts w:hint="eastAsia" w:cs="Arial"/>
        </w:rPr>
        <w:t>条10.4明确了内部自查的要求，为了更好地发展，设施西瓜生产者应建立内部自查制度，定期开展自查，根据生产全程记录档案，结合生产的实际情况自纠自查，找出生产单位内部存在的问题及不足之处，进行妥善整改，不断完善设施西瓜生产全产业链，提高设施西瓜质量安全水平。</w:t>
      </w:r>
    </w:p>
    <w:p>
      <w:pPr>
        <w:pStyle w:val="3"/>
        <w:rPr>
          <w:kern w:val="44"/>
        </w:rPr>
      </w:pPr>
      <w:r>
        <w:rPr>
          <w:kern w:val="44"/>
        </w:rPr>
        <w:t>三、试验验证的分析、综述报告，技术经济论证，预期的经济效益、社会效益和生态效益</w:t>
      </w:r>
    </w:p>
    <w:p>
      <w:pPr>
        <w:pStyle w:val="4"/>
        <w:spacing w:before="163"/>
      </w:pPr>
      <w:r>
        <w:t>（一）主要试验或验证的分析、综述报告</w:t>
      </w:r>
    </w:p>
    <w:p>
      <w:pPr>
        <w:ind w:firstLine="480"/>
      </w:pPr>
      <w:r>
        <w:rPr>
          <w:rFonts w:hint="eastAsia"/>
        </w:rPr>
        <w:t>在制定设施西瓜标准综合体</w:t>
      </w:r>
      <w:r>
        <w:t>的标准内容</w:t>
      </w:r>
      <w:r>
        <w:rPr>
          <w:rFonts w:hint="eastAsia"/>
        </w:rPr>
        <w:t>时</w:t>
      </w:r>
      <w:r>
        <w:t>，标准起草小组首先收集整理了</w:t>
      </w:r>
      <w:r>
        <w:rPr>
          <w:rFonts w:hint="eastAsia"/>
        </w:rPr>
        <w:t>设施西瓜全产业链</w:t>
      </w:r>
      <w:r>
        <w:t>标准化生产相关的政府法规及标准文件等，</w:t>
      </w:r>
      <w:r>
        <w:rPr>
          <w:rFonts w:hint="eastAsia"/>
        </w:rPr>
        <w:t>并对搜集的资料进行了系统的分析和整理，理清设施西瓜全产业链各个环节的涵盖内容。其次，标准起草小组通过</w:t>
      </w:r>
      <w:r>
        <w:t>与</w:t>
      </w:r>
      <w:r>
        <w:rPr>
          <w:rFonts w:hint="eastAsia"/>
        </w:rPr>
        <w:t>西瓜</w:t>
      </w:r>
      <w:r>
        <w:t>主产区的监管部门、农技推广中心、科研单位等多位专家进行内容的探讨，</w:t>
      </w:r>
      <w:r>
        <w:rPr>
          <w:rFonts w:hint="eastAsia"/>
        </w:rPr>
        <w:t>掌握了设施西瓜全产业链栽培品种、设施设备、育苗、栽培管理、产后贮运加工等西瓜生产的基本情况，</w:t>
      </w:r>
      <w:r>
        <w:rPr>
          <w:rFonts w:hint="eastAsia" w:ascii="宋体" w:hAnsi="宋体"/>
        </w:rPr>
        <w:t>就标准草案中标准范围、框架以及各部分技术指标等内容的确定等开展研讨与交流</w:t>
      </w:r>
      <w:r>
        <w:t>，</w:t>
      </w:r>
      <w:r>
        <w:rPr>
          <w:rFonts w:hint="eastAsia"/>
        </w:rPr>
        <w:t>拟定了《设施西瓜标准综合体》标准草案</w:t>
      </w:r>
      <w:r>
        <w:t>。</w:t>
      </w:r>
      <w:r>
        <w:rPr>
          <w:rFonts w:hint="eastAsia"/>
        </w:rPr>
        <w:t>最后，起草小组</w:t>
      </w:r>
      <w:r>
        <w:t>根据对国内具有一定规模的</w:t>
      </w:r>
      <w:r>
        <w:rPr>
          <w:rFonts w:hint="eastAsia"/>
        </w:rPr>
        <w:t>西瓜</w:t>
      </w:r>
      <w:r>
        <w:t>生产主体的调研，对标准的可实施性进行了验证</w:t>
      </w:r>
      <w:r>
        <w:rPr>
          <w:rFonts w:hint="eastAsia"/>
        </w:rPr>
        <w:t>，形成了包括总则、产地环境、种苗繁育、栽培管理、等级规格与包装、</w:t>
      </w:r>
      <w:r>
        <w:rPr>
          <w:rFonts w:hint="eastAsia" w:cstheme="majorBidi"/>
          <w:szCs w:val="28"/>
        </w:rPr>
        <w:t>贮存与运输和</w:t>
      </w:r>
      <w:r>
        <w:rPr>
          <w:rFonts w:hint="eastAsia"/>
        </w:rPr>
        <w:t>质量控制7个部分的《设施西瓜标准综合体》。</w:t>
      </w:r>
      <w:r>
        <w:t>针对标准的适用性和可操作性，标准起草小组实地走访了</w:t>
      </w:r>
      <w:r>
        <w:rPr>
          <w:rFonts w:hint="eastAsia"/>
          <w:highlight w:val="none"/>
          <w:lang w:val="en-US" w:eastAsia="zh-CN"/>
        </w:rPr>
        <w:t>XXX</w:t>
      </w:r>
      <w:r>
        <w:rPr>
          <w:rFonts w:hint="eastAsia"/>
          <w:highlight w:val="none"/>
        </w:rPr>
        <w:t>公</w:t>
      </w:r>
      <w:r>
        <w:rPr>
          <w:rFonts w:hint="eastAsia"/>
        </w:rPr>
        <w:t>司</w:t>
      </w:r>
      <w:r>
        <w:t>等生产主体进行标准的可行性进行验证。</w:t>
      </w:r>
    </w:p>
    <w:p>
      <w:pPr>
        <w:ind w:firstLine="480"/>
      </w:pPr>
      <w:r>
        <w:t>国内目前没有</w:t>
      </w:r>
      <w:r>
        <w:rPr>
          <w:rFonts w:hint="eastAsia"/>
        </w:rPr>
        <w:t>设施西瓜标准综合体</w:t>
      </w:r>
      <w:r>
        <w:t>标准，本标准的提出可以</w:t>
      </w:r>
      <w:r>
        <w:rPr>
          <w:rFonts w:hint="eastAsia"/>
        </w:rPr>
        <w:t>完善设施西瓜全产业链生产过程的标准化体系，</w:t>
      </w:r>
      <w:r>
        <w:t>从产前、产中及产后各个环节对</w:t>
      </w:r>
      <w:r>
        <w:rPr>
          <w:rFonts w:hint="eastAsia"/>
        </w:rPr>
        <w:t>西瓜</w:t>
      </w:r>
      <w:r>
        <w:t>的生产质量</w:t>
      </w:r>
      <w:r>
        <w:rPr>
          <w:rFonts w:hint="eastAsia"/>
        </w:rPr>
        <w:t>和</w:t>
      </w:r>
      <w:r>
        <w:t>安全进行控制，与同类生产标准规范相比，具有一定的先进性。同时，通过调研可知，对于</w:t>
      </w:r>
      <w:r>
        <w:rPr>
          <w:rFonts w:hint="eastAsia"/>
        </w:rPr>
        <w:t>西瓜</w:t>
      </w:r>
      <w:r>
        <w:t>生产的技术要求，大部分生产主体均能达到，而对于管理体系要求，部分生产主体需要进行改进完善，从而进一步提升</w:t>
      </w:r>
      <w:r>
        <w:rPr>
          <w:rFonts w:hint="eastAsia"/>
        </w:rPr>
        <w:t>西瓜</w:t>
      </w:r>
      <w:r>
        <w:t>的质量安全水平，</w:t>
      </w:r>
      <w:r>
        <w:rPr>
          <w:rFonts w:hint="eastAsia"/>
        </w:rPr>
        <w:t>本标准</w:t>
      </w:r>
      <w:r>
        <w:t>具有一定的适用性及可操作性。</w:t>
      </w:r>
    </w:p>
    <w:p>
      <w:pPr>
        <w:pStyle w:val="4"/>
        <w:spacing w:before="163"/>
      </w:pPr>
      <w:r>
        <w:t>（二）技术经济论证、预期的经济效果</w:t>
      </w:r>
    </w:p>
    <w:p>
      <w:pPr>
        <w:ind w:firstLine="480"/>
      </w:pPr>
      <w:r>
        <w:rPr>
          <w:rFonts w:hint="eastAsia" w:cs="Arial"/>
        </w:rPr>
        <w:t>近年随着</w:t>
      </w:r>
      <w:r>
        <w:rPr>
          <w:rFonts w:ascii="Segoe UI" w:hAnsi="Segoe UI" w:eastAsia="Segoe UI" w:cs="Segoe UI"/>
          <w:shd w:val="clear" w:color="auto" w:fill="FFFFFF"/>
        </w:rPr>
        <w:t>设施栽培技术不断发展，</w:t>
      </w:r>
      <w:r>
        <w:rPr>
          <w:rFonts w:hint="eastAsia" w:cs="Arial"/>
        </w:rPr>
        <w:t>西瓜栽培面积不断扩大，产量不断提高，</w:t>
      </w:r>
      <w:r>
        <w:rPr>
          <w:rFonts w:ascii="Segoe UI" w:hAnsi="Segoe UI" w:eastAsia="Segoe UI" w:cs="Segoe UI"/>
          <w:shd w:val="clear" w:color="auto" w:fill="FFFFFF"/>
        </w:rPr>
        <w:t>且能实现周年供应。</w:t>
      </w:r>
      <w:r>
        <w:rPr>
          <w:rFonts w:hint="eastAsia" w:ascii="Segoe UI" w:hAnsi="Segoe UI" w:cs="Segoe UI"/>
          <w:shd w:val="clear" w:color="auto" w:fill="FFFFFF"/>
        </w:rPr>
        <w:t>但仍存在一些问题，比如</w:t>
      </w:r>
      <w:r>
        <w:rPr>
          <w:rFonts w:hint="eastAsia" w:cs="Arial"/>
        </w:rPr>
        <w:t>缺乏规范化的栽培技术规程，栽培管理随意性大，技术水平参差不齐，导致栽培抗风险能力不强，严重制约着产业健康可持续发展。本标准</w:t>
      </w:r>
      <w:r>
        <w:t>的制定和实施，必将进一步提高我国</w:t>
      </w:r>
      <w:r>
        <w:rPr>
          <w:rFonts w:hint="eastAsia"/>
        </w:rPr>
        <w:t>设施西瓜标准化生产水平，</w:t>
      </w:r>
      <w:r>
        <w:t>增强我国</w:t>
      </w:r>
      <w:r>
        <w:rPr>
          <w:rFonts w:hint="eastAsia"/>
        </w:rPr>
        <w:t>设施西瓜</w:t>
      </w:r>
      <w:r>
        <w:t>生产者和消费者的质量观念，推进我国农产品品牌建设，增加农民收入，提高我国</w:t>
      </w:r>
      <w:r>
        <w:rPr>
          <w:rFonts w:hint="eastAsia"/>
        </w:rPr>
        <w:t>西瓜</w:t>
      </w:r>
      <w:r>
        <w:t>的国际竞争力，增加我国农产品出口创汇，推进我国</w:t>
      </w:r>
      <w:r>
        <w:rPr>
          <w:rFonts w:hint="eastAsia"/>
        </w:rPr>
        <w:t>西瓜产业</w:t>
      </w:r>
      <w:r>
        <w:t>高质量发展。</w:t>
      </w:r>
    </w:p>
    <w:p>
      <w:pPr>
        <w:ind w:firstLine="480"/>
        <w:rPr>
          <w:rFonts w:cs="Arial"/>
        </w:rPr>
      </w:pPr>
    </w:p>
    <w:p>
      <w:pPr>
        <w:pStyle w:val="3"/>
      </w:pPr>
      <w:r>
        <w:rPr>
          <w:kern w:val="44"/>
        </w:rPr>
        <w:t>四、</w:t>
      </w:r>
      <w:r>
        <w:t>与国际、国外同类标准技术内容的对比情况，或者与测试的国外样品、样机的有关数据对比情况</w:t>
      </w:r>
    </w:p>
    <w:p>
      <w:pPr>
        <w:ind w:firstLine="480"/>
      </w:pPr>
      <w:r>
        <w:t>目前，国外尚无</w:t>
      </w:r>
      <w:r>
        <w:rPr>
          <w:rFonts w:hint="eastAsia"/>
        </w:rPr>
        <w:t>设施西瓜全产业链标准综合体</w:t>
      </w:r>
      <w:r>
        <w:t>的相关标准，本标准没有采用国际标准和国外先进标准，与国内同类型标准水平一致。</w:t>
      </w:r>
    </w:p>
    <w:p>
      <w:pPr>
        <w:pStyle w:val="3"/>
      </w:pPr>
      <w:r>
        <w:t>五、以国际标准为基础的起草情况，以及是否合规引用或者采用国际国外标准，并说明未采用国际标准的原因</w:t>
      </w:r>
    </w:p>
    <w:p>
      <w:pPr>
        <w:ind w:firstLine="480"/>
      </w:pPr>
      <w:r>
        <w:rPr>
          <w:rFonts w:hint="eastAsia" w:cs="Arial"/>
        </w:rPr>
        <w:t>本标准制定过程中未采用国际标准。</w:t>
      </w:r>
    </w:p>
    <w:p>
      <w:pPr>
        <w:pStyle w:val="3"/>
      </w:pPr>
      <w:r>
        <w:rPr>
          <w:rFonts w:hint="eastAsia"/>
          <w:kern w:val="44"/>
        </w:rPr>
        <w:t>六</w:t>
      </w:r>
      <w:r>
        <w:rPr>
          <w:kern w:val="44"/>
        </w:rPr>
        <w:t>、</w:t>
      </w:r>
      <w:r>
        <w:rPr>
          <w:rFonts w:hint="eastAsia"/>
        </w:rPr>
        <w:t>与有关法律、行政法规及相关标准的关系</w:t>
      </w:r>
    </w:p>
    <w:p>
      <w:pPr>
        <w:ind w:firstLine="480"/>
      </w:pPr>
      <w:r>
        <w:t>本标准依据《中华人民共和国标准化法》、《团体标准管理规定》、GB/T1.1</w:t>
      </w:r>
      <w:r>
        <w:rPr>
          <w:rFonts w:hint="eastAsia"/>
          <w:lang w:eastAsia="zh-CN"/>
        </w:rPr>
        <w:t>—</w:t>
      </w:r>
      <w:r>
        <w:t>2020《标准化工作导则第1部分：标准化文件的结构和起草规则》等法律法规、标准编写，与现行法律、法规和强制性标准没有冲突。在标准的制定过程中，严格贯彻国家有关方针、政策、法律和规章，严格执行强制性国家标准和行业标准，与相关的各种基础标准相衔接，遵循了政策性和协调统一性的原则。</w:t>
      </w:r>
    </w:p>
    <w:p>
      <w:pPr>
        <w:pStyle w:val="3"/>
      </w:pPr>
      <w:r>
        <w:t>七、重大分歧意见的处理经过和依据</w:t>
      </w:r>
    </w:p>
    <w:p>
      <w:pPr>
        <w:ind w:firstLine="480"/>
      </w:pPr>
      <w:r>
        <w:t>本标准在编写过程中尚无大的意见分歧。</w:t>
      </w:r>
    </w:p>
    <w:p>
      <w:pPr>
        <w:pStyle w:val="3"/>
      </w:pPr>
      <w:r>
        <w:t>八、涉及专利的有关说明</w:t>
      </w:r>
    </w:p>
    <w:p>
      <w:pPr>
        <w:ind w:firstLine="480"/>
      </w:pPr>
      <w:r>
        <w:t>本标准在编写过程中未涉及专利。</w:t>
      </w:r>
    </w:p>
    <w:p>
      <w:pPr>
        <w:pStyle w:val="3"/>
      </w:pPr>
      <w:r>
        <w:t>九、实施标准的要求，以及组织措施、技术措施、过渡期和实施日期的建议等措施建议</w:t>
      </w:r>
    </w:p>
    <w:p>
      <w:pPr>
        <w:ind w:firstLine="480"/>
        <w:rPr>
          <w:rFonts w:cs="Arial"/>
        </w:rPr>
      </w:pPr>
      <w:r>
        <w:rPr>
          <w:rFonts w:hint="eastAsia" w:cs="Arial"/>
        </w:rPr>
        <w:t>标准的贯彻实施是标准化工作的重要内容之一，是标准化活动的一个重要环节，也是标准化活动的目的所在，因此在贯彻标准的过程中建议采取以下具体措施：</w:t>
      </w:r>
    </w:p>
    <w:p>
      <w:pPr>
        <w:ind w:firstLine="480"/>
        <w:rPr>
          <w:rFonts w:cs="Arial"/>
        </w:rPr>
      </w:pPr>
      <w:r>
        <w:rPr>
          <w:rFonts w:hint="eastAsia"/>
        </w:rPr>
        <w:t xml:space="preserve">1. </w:t>
      </w:r>
      <w:r>
        <w:rPr>
          <w:rFonts w:hint="eastAsia" w:cs="Arial"/>
        </w:rPr>
        <w:t>标准发布部门应向相关管理、生产、经营、科研、质检、标准化等单位提供本标准文本，并说明标准的实施范围和起始日期，为标准的顺利实施奠定基础。</w:t>
      </w:r>
    </w:p>
    <w:p>
      <w:pPr>
        <w:ind w:firstLine="480"/>
      </w:pPr>
      <w:r>
        <w:rPr>
          <w:rFonts w:hint="eastAsia"/>
        </w:rPr>
        <w:t>2. 充分发挥传统媒体和新媒体的作用，普及标准化知识及《设施西瓜标准综合体》的相关标准。</w:t>
      </w:r>
    </w:p>
    <w:p>
      <w:pPr>
        <w:ind w:firstLine="480"/>
      </w:pPr>
      <w:r>
        <w:rPr>
          <w:rFonts w:hint="eastAsia"/>
        </w:rPr>
        <w:t>3. 通过举办培训班、研讨会和讲座等方式，有计划、有步骤地对各级管理人员、技术人员、合作社、种植户开展培训，引导相关人员和单位认真执行相关标准，从全产业链各个环节按标准要求执行，使标准切实发挥应有的作用，充分发挥标准对设施西瓜生产的指导作用。</w:t>
      </w:r>
    </w:p>
    <w:p>
      <w:pPr>
        <w:pStyle w:val="3"/>
      </w:pPr>
      <w:r>
        <w:t>十、其他应当说明的事项</w:t>
      </w:r>
    </w:p>
    <w:p>
      <w:pPr>
        <w:ind w:firstLine="480"/>
      </w:pPr>
      <w:r>
        <w:t>无。</w:t>
      </w:r>
    </w:p>
    <w:p>
      <w:pPr>
        <w:ind w:firstLine="480"/>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276" w:left="1800" w:header="851" w:footer="794"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ind w:firstLine="36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ind w:firstLine="360"/>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2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1D0C33"/>
    <w:multiLevelType w:val="singleLevel"/>
    <w:tmpl w:val="C81D0C33"/>
    <w:lvl w:ilvl="0" w:tentative="0">
      <w:start w:val="4"/>
      <w:numFmt w:val="decimal"/>
      <w:suff w:val="space"/>
      <w:lvlText w:val="%1."/>
      <w:lvlJc w:val="left"/>
    </w:lvl>
  </w:abstractNum>
  <w:abstractNum w:abstractNumId="1">
    <w:nsid w:val="430E30AE"/>
    <w:multiLevelType w:val="singleLevel"/>
    <w:tmpl w:val="430E30AE"/>
    <w:lvl w:ilvl="0" w:tentative="0">
      <w:start w:val="2"/>
      <w:numFmt w:val="chineseCounting"/>
      <w:suff w:val="nothing"/>
      <w:lvlText w:val="（%1）"/>
      <w:lvlJc w:val="left"/>
      <w:rPr>
        <w:rFonts w:hint="eastAsia"/>
      </w:rPr>
    </w:lvl>
  </w:abstractNum>
  <w:abstractNum w:abstractNumId="2">
    <w:nsid w:val="67268DA6"/>
    <w:multiLevelType w:val="singleLevel"/>
    <w:tmpl w:val="67268DA6"/>
    <w:lvl w:ilvl="0" w:tentative="0">
      <w:start w:val="1"/>
      <w:numFmt w:val="decimal"/>
      <w:suff w:val="space"/>
      <w:lvlText w:val="%1."/>
      <w:lvlJc w:val="left"/>
    </w:lvl>
  </w:abstractNum>
  <w:abstractNum w:abstractNumId="3">
    <w:nsid w:val="6D6C07CD"/>
    <w:multiLevelType w:val="multilevel"/>
    <w:tmpl w:val="6D6C07CD"/>
    <w:lvl w:ilvl="0" w:tentative="0">
      <w:start w:val="1"/>
      <w:numFmt w:val="lowerLetter"/>
      <w:pStyle w:val="20"/>
      <w:lvlText w:val="%1)"/>
      <w:lvlJc w:val="left"/>
      <w:pPr>
        <w:tabs>
          <w:tab w:val="left" w:pos="839"/>
        </w:tabs>
        <w:ind w:left="839" w:hanging="419"/>
      </w:pPr>
      <w:rPr>
        <w:rFonts w:hint="eastAsia" w:ascii="宋体" w:eastAsia="宋体"/>
        <w:b w:val="0"/>
        <w:i w:val="0"/>
        <w:sz w:val="21"/>
      </w:rPr>
    </w:lvl>
    <w:lvl w:ilvl="1" w:tentative="0">
      <w:start w:val="1"/>
      <w:numFmt w:val="decimal"/>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5OGVjM2IzMDQyYmY5ZGZlNGFiMzZhYTkwZDVmNzEifQ=="/>
  </w:docVars>
  <w:rsids>
    <w:rsidRoot w:val="00965486"/>
    <w:rsid w:val="00000BD2"/>
    <w:rsid w:val="00002E3A"/>
    <w:rsid w:val="0000598F"/>
    <w:rsid w:val="000148F3"/>
    <w:rsid w:val="0003128C"/>
    <w:rsid w:val="0003190C"/>
    <w:rsid w:val="000336BE"/>
    <w:rsid w:val="00034945"/>
    <w:rsid w:val="0004467F"/>
    <w:rsid w:val="0005265B"/>
    <w:rsid w:val="00070FFC"/>
    <w:rsid w:val="00081A65"/>
    <w:rsid w:val="00082873"/>
    <w:rsid w:val="00083BCB"/>
    <w:rsid w:val="00085FAE"/>
    <w:rsid w:val="000871FE"/>
    <w:rsid w:val="000B1AF5"/>
    <w:rsid w:val="000B2377"/>
    <w:rsid w:val="000B394B"/>
    <w:rsid w:val="000C6E6C"/>
    <w:rsid w:val="000D0BA3"/>
    <w:rsid w:val="000D50FC"/>
    <w:rsid w:val="000D64B1"/>
    <w:rsid w:val="000E3BA9"/>
    <w:rsid w:val="000F0A81"/>
    <w:rsid w:val="000F40D0"/>
    <w:rsid w:val="000F429F"/>
    <w:rsid w:val="000F72F4"/>
    <w:rsid w:val="00117FD9"/>
    <w:rsid w:val="00120027"/>
    <w:rsid w:val="00122022"/>
    <w:rsid w:val="00123E94"/>
    <w:rsid w:val="00126D47"/>
    <w:rsid w:val="00134A5F"/>
    <w:rsid w:val="00140DA6"/>
    <w:rsid w:val="00146ACF"/>
    <w:rsid w:val="00147085"/>
    <w:rsid w:val="0015433A"/>
    <w:rsid w:val="0015439E"/>
    <w:rsid w:val="001604F6"/>
    <w:rsid w:val="001A0700"/>
    <w:rsid w:val="001A0D2A"/>
    <w:rsid w:val="001B0E66"/>
    <w:rsid w:val="001C16B4"/>
    <w:rsid w:val="001D084C"/>
    <w:rsid w:val="001F44A2"/>
    <w:rsid w:val="001F537F"/>
    <w:rsid w:val="002002A7"/>
    <w:rsid w:val="0021237C"/>
    <w:rsid w:val="00216AAB"/>
    <w:rsid w:val="00220A78"/>
    <w:rsid w:val="00222303"/>
    <w:rsid w:val="002313DB"/>
    <w:rsid w:val="00257944"/>
    <w:rsid w:val="00260316"/>
    <w:rsid w:val="0026740B"/>
    <w:rsid w:val="002710B2"/>
    <w:rsid w:val="00275B3A"/>
    <w:rsid w:val="002761DA"/>
    <w:rsid w:val="0028267C"/>
    <w:rsid w:val="002826DA"/>
    <w:rsid w:val="00283B09"/>
    <w:rsid w:val="002A09E8"/>
    <w:rsid w:val="002A1E8B"/>
    <w:rsid w:val="002A34C0"/>
    <w:rsid w:val="002A7109"/>
    <w:rsid w:val="002B1718"/>
    <w:rsid w:val="002B45A2"/>
    <w:rsid w:val="002B6BE4"/>
    <w:rsid w:val="002C18C5"/>
    <w:rsid w:val="002C6EF9"/>
    <w:rsid w:val="002C7755"/>
    <w:rsid w:val="002E643E"/>
    <w:rsid w:val="002F19CC"/>
    <w:rsid w:val="002F39CE"/>
    <w:rsid w:val="002F5D26"/>
    <w:rsid w:val="00305060"/>
    <w:rsid w:val="00316558"/>
    <w:rsid w:val="00332022"/>
    <w:rsid w:val="003330B4"/>
    <w:rsid w:val="0033336E"/>
    <w:rsid w:val="00340D25"/>
    <w:rsid w:val="00352C5A"/>
    <w:rsid w:val="00355116"/>
    <w:rsid w:val="0036518E"/>
    <w:rsid w:val="0036651A"/>
    <w:rsid w:val="003723D7"/>
    <w:rsid w:val="00380EF4"/>
    <w:rsid w:val="00383CA0"/>
    <w:rsid w:val="00391963"/>
    <w:rsid w:val="00391BBB"/>
    <w:rsid w:val="003943DB"/>
    <w:rsid w:val="00396289"/>
    <w:rsid w:val="003A69AC"/>
    <w:rsid w:val="003B1F83"/>
    <w:rsid w:val="003B674A"/>
    <w:rsid w:val="003B7870"/>
    <w:rsid w:val="003C767B"/>
    <w:rsid w:val="003C7743"/>
    <w:rsid w:val="003D00A1"/>
    <w:rsid w:val="003D0E08"/>
    <w:rsid w:val="003D16EE"/>
    <w:rsid w:val="003D3893"/>
    <w:rsid w:val="003D5682"/>
    <w:rsid w:val="003F54C3"/>
    <w:rsid w:val="004113A1"/>
    <w:rsid w:val="00415D19"/>
    <w:rsid w:val="00422F2D"/>
    <w:rsid w:val="004306CD"/>
    <w:rsid w:val="00443F18"/>
    <w:rsid w:val="004531D2"/>
    <w:rsid w:val="004608F9"/>
    <w:rsid w:val="004700A9"/>
    <w:rsid w:val="00485D6B"/>
    <w:rsid w:val="004915A7"/>
    <w:rsid w:val="00491880"/>
    <w:rsid w:val="004A02DA"/>
    <w:rsid w:val="004A24E7"/>
    <w:rsid w:val="004A45E4"/>
    <w:rsid w:val="004A55CF"/>
    <w:rsid w:val="004B2B21"/>
    <w:rsid w:val="004B4008"/>
    <w:rsid w:val="004B4A0F"/>
    <w:rsid w:val="004B5ACF"/>
    <w:rsid w:val="004B610E"/>
    <w:rsid w:val="004C303F"/>
    <w:rsid w:val="004C65C9"/>
    <w:rsid w:val="004D6B3D"/>
    <w:rsid w:val="004E3676"/>
    <w:rsid w:val="004E54BD"/>
    <w:rsid w:val="004F014F"/>
    <w:rsid w:val="00505668"/>
    <w:rsid w:val="00515065"/>
    <w:rsid w:val="00520A12"/>
    <w:rsid w:val="00523205"/>
    <w:rsid w:val="005237AC"/>
    <w:rsid w:val="005247E3"/>
    <w:rsid w:val="0052486E"/>
    <w:rsid w:val="005432A5"/>
    <w:rsid w:val="00547391"/>
    <w:rsid w:val="00561177"/>
    <w:rsid w:val="00563B6E"/>
    <w:rsid w:val="00564781"/>
    <w:rsid w:val="00572868"/>
    <w:rsid w:val="00574B52"/>
    <w:rsid w:val="00584B4D"/>
    <w:rsid w:val="00584B72"/>
    <w:rsid w:val="005850B8"/>
    <w:rsid w:val="005863C2"/>
    <w:rsid w:val="005907D2"/>
    <w:rsid w:val="00592A9A"/>
    <w:rsid w:val="00594D26"/>
    <w:rsid w:val="005B71FA"/>
    <w:rsid w:val="005B7A51"/>
    <w:rsid w:val="005C3105"/>
    <w:rsid w:val="005D6113"/>
    <w:rsid w:val="005D6E35"/>
    <w:rsid w:val="005F47D5"/>
    <w:rsid w:val="005F7DE2"/>
    <w:rsid w:val="00602103"/>
    <w:rsid w:val="00610BCA"/>
    <w:rsid w:val="00625384"/>
    <w:rsid w:val="006365EB"/>
    <w:rsid w:val="0063688B"/>
    <w:rsid w:val="00647A96"/>
    <w:rsid w:val="0065376E"/>
    <w:rsid w:val="006621F5"/>
    <w:rsid w:val="00667F1D"/>
    <w:rsid w:val="00670816"/>
    <w:rsid w:val="00683A9D"/>
    <w:rsid w:val="00692E28"/>
    <w:rsid w:val="00697210"/>
    <w:rsid w:val="006A3EE5"/>
    <w:rsid w:val="006A4A46"/>
    <w:rsid w:val="006A55E1"/>
    <w:rsid w:val="006A6919"/>
    <w:rsid w:val="006B1079"/>
    <w:rsid w:val="006B5A55"/>
    <w:rsid w:val="006B5D75"/>
    <w:rsid w:val="006E4F2A"/>
    <w:rsid w:val="006F05C0"/>
    <w:rsid w:val="00700B1D"/>
    <w:rsid w:val="007014FB"/>
    <w:rsid w:val="00705956"/>
    <w:rsid w:val="00724016"/>
    <w:rsid w:val="007305B1"/>
    <w:rsid w:val="00750687"/>
    <w:rsid w:val="0076099A"/>
    <w:rsid w:val="00761D72"/>
    <w:rsid w:val="007630B3"/>
    <w:rsid w:val="007650C5"/>
    <w:rsid w:val="0077681C"/>
    <w:rsid w:val="007819D4"/>
    <w:rsid w:val="007869C5"/>
    <w:rsid w:val="007A0F71"/>
    <w:rsid w:val="007A48AB"/>
    <w:rsid w:val="007A6CC7"/>
    <w:rsid w:val="007B246F"/>
    <w:rsid w:val="007B6BF1"/>
    <w:rsid w:val="007D2A30"/>
    <w:rsid w:val="007D4A9F"/>
    <w:rsid w:val="007F6686"/>
    <w:rsid w:val="00810E66"/>
    <w:rsid w:val="00816773"/>
    <w:rsid w:val="008238F3"/>
    <w:rsid w:val="008323B2"/>
    <w:rsid w:val="0084302D"/>
    <w:rsid w:val="00855647"/>
    <w:rsid w:val="008559CF"/>
    <w:rsid w:val="00857609"/>
    <w:rsid w:val="00864AA9"/>
    <w:rsid w:val="008868B6"/>
    <w:rsid w:val="00893979"/>
    <w:rsid w:val="00896DE9"/>
    <w:rsid w:val="008B1731"/>
    <w:rsid w:val="008B4A95"/>
    <w:rsid w:val="008B63D5"/>
    <w:rsid w:val="008C53B1"/>
    <w:rsid w:val="008D19FF"/>
    <w:rsid w:val="008E1703"/>
    <w:rsid w:val="008E2F00"/>
    <w:rsid w:val="008F6DD7"/>
    <w:rsid w:val="008F790C"/>
    <w:rsid w:val="008F7B4B"/>
    <w:rsid w:val="00901A52"/>
    <w:rsid w:val="0090336D"/>
    <w:rsid w:val="00903E88"/>
    <w:rsid w:val="00906CD5"/>
    <w:rsid w:val="009214EC"/>
    <w:rsid w:val="009214FD"/>
    <w:rsid w:val="009335A3"/>
    <w:rsid w:val="00941C35"/>
    <w:rsid w:val="00941E6D"/>
    <w:rsid w:val="00945134"/>
    <w:rsid w:val="00950189"/>
    <w:rsid w:val="00965486"/>
    <w:rsid w:val="0097211E"/>
    <w:rsid w:val="0099112A"/>
    <w:rsid w:val="009A5424"/>
    <w:rsid w:val="009A7FE2"/>
    <w:rsid w:val="009B58F0"/>
    <w:rsid w:val="009C215E"/>
    <w:rsid w:val="009C2751"/>
    <w:rsid w:val="009C51D5"/>
    <w:rsid w:val="009D4201"/>
    <w:rsid w:val="009D5071"/>
    <w:rsid w:val="009D6D43"/>
    <w:rsid w:val="009E1F3B"/>
    <w:rsid w:val="009F2E6D"/>
    <w:rsid w:val="00A1045F"/>
    <w:rsid w:val="00A20866"/>
    <w:rsid w:val="00A21F61"/>
    <w:rsid w:val="00A3042C"/>
    <w:rsid w:val="00A35DB1"/>
    <w:rsid w:val="00A4272A"/>
    <w:rsid w:val="00A42F03"/>
    <w:rsid w:val="00A50D1E"/>
    <w:rsid w:val="00A6157D"/>
    <w:rsid w:val="00A70D91"/>
    <w:rsid w:val="00A72051"/>
    <w:rsid w:val="00A72457"/>
    <w:rsid w:val="00A75AA4"/>
    <w:rsid w:val="00A7653E"/>
    <w:rsid w:val="00A90B31"/>
    <w:rsid w:val="00A91756"/>
    <w:rsid w:val="00A95CCD"/>
    <w:rsid w:val="00A96A5F"/>
    <w:rsid w:val="00AC25FC"/>
    <w:rsid w:val="00AC5941"/>
    <w:rsid w:val="00AD3186"/>
    <w:rsid w:val="00AD62CA"/>
    <w:rsid w:val="00AD6740"/>
    <w:rsid w:val="00AD7325"/>
    <w:rsid w:val="00AF0526"/>
    <w:rsid w:val="00B111C1"/>
    <w:rsid w:val="00B240E0"/>
    <w:rsid w:val="00B26F7A"/>
    <w:rsid w:val="00B40CD2"/>
    <w:rsid w:val="00B537B8"/>
    <w:rsid w:val="00B6495C"/>
    <w:rsid w:val="00B660F6"/>
    <w:rsid w:val="00B66270"/>
    <w:rsid w:val="00B72E15"/>
    <w:rsid w:val="00B752C2"/>
    <w:rsid w:val="00B8657E"/>
    <w:rsid w:val="00B931FC"/>
    <w:rsid w:val="00BA044A"/>
    <w:rsid w:val="00BB2AF7"/>
    <w:rsid w:val="00BB4C90"/>
    <w:rsid w:val="00BC07E9"/>
    <w:rsid w:val="00BC5BB8"/>
    <w:rsid w:val="00BC6201"/>
    <w:rsid w:val="00BC668D"/>
    <w:rsid w:val="00BD2F12"/>
    <w:rsid w:val="00BF0BAF"/>
    <w:rsid w:val="00C03EDA"/>
    <w:rsid w:val="00C05F16"/>
    <w:rsid w:val="00C072F3"/>
    <w:rsid w:val="00C155B1"/>
    <w:rsid w:val="00C20718"/>
    <w:rsid w:val="00C35344"/>
    <w:rsid w:val="00C35B9C"/>
    <w:rsid w:val="00C5792F"/>
    <w:rsid w:val="00C64975"/>
    <w:rsid w:val="00C74BCC"/>
    <w:rsid w:val="00C74E00"/>
    <w:rsid w:val="00C77B26"/>
    <w:rsid w:val="00C80CC5"/>
    <w:rsid w:val="00C85EA0"/>
    <w:rsid w:val="00C92217"/>
    <w:rsid w:val="00C92636"/>
    <w:rsid w:val="00CA0522"/>
    <w:rsid w:val="00CA1C8B"/>
    <w:rsid w:val="00CA498E"/>
    <w:rsid w:val="00CB4D77"/>
    <w:rsid w:val="00CB5C0E"/>
    <w:rsid w:val="00CB7350"/>
    <w:rsid w:val="00CC698C"/>
    <w:rsid w:val="00CC79AA"/>
    <w:rsid w:val="00CE0924"/>
    <w:rsid w:val="00CE2D07"/>
    <w:rsid w:val="00CF13A8"/>
    <w:rsid w:val="00CF319C"/>
    <w:rsid w:val="00D147CB"/>
    <w:rsid w:val="00D26C7A"/>
    <w:rsid w:val="00D326B5"/>
    <w:rsid w:val="00D353EC"/>
    <w:rsid w:val="00D35A8E"/>
    <w:rsid w:val="00D37EB4"/>
    <w:rsid w:val="00D42E69"/>
    <w:rsid w:val="00D43E77"/>
    <w:rsid w:val="00D456BA"/>
    <w:rsid w:val="00D46FC3"/>
    <w:rsid w:val="00D55131"/>
    <w:rsid w:val="00D76E6C"/>
    <w:rsid w:val="00DA1A98"/>
    <w:rsid w:val="00DA2A0B"/>
    <w:rsid w:val="00DA6673"/>
    <w:rsid w:val="00DB0530"/>
    <w:rsid w:val="00DB2B55"/>
    <w:rsid w:val="00DB35C3"/>
    <w:rsid w:val="00DC093D"/>
    <w:rsid w:val="00DC728E"/>
    <w:rsid w:val="00DE73A7"/>
    <w:rsid w:val="00E00FFD"/>
    <w:rsid w:val="00E05602"/>
    <w:rsid w:val="00E11477"/>
    <w:rsid w:val="00E136A8"/>
    <w:rsid w:val="00E21F95"/>
    <w:rsid w:val="00E37979"/>
    <w:rsid w:val="00E4350C"/>
    <w:rsid w:val="00E439FB"/>
    <w:rsid w:val="00E519B0"/>
    <w:rsid w:val="00E64E62"/>
    <w:rsid w:val="00E77ADB"/>
    <w:rsid w:val="00E819F1"/>
    <w:rsid w:val="00E82E69"/>
    <w:rsid w:val="00E908B1"/>
    <w:rsid w:val="00E90CAF"/>
    <w:rsid w:val="00E91038"/>
    <w:rsid w:val="00E93938"/>
    <w:rsid w:val="00E96224"/>
    <w:rsid w:val="00EA19F7"/>
    <w:rsid w:val="00EA3AE9"/>
    <w:rsid w:val="00EA7444"/>
    <w:rsid w:val="00EB7230"/>
    <w:rsid w:val="00EC1737"/>
    <w:rsid w:val="00EC228E"/>
    <w:rsid w:val="00EC3249"/>
    <w:rsid w:val="00EE1CBC"/>
    <w:rsid w:val="00EE5D4A"/>
    <w:rsid w:val="00EF3883"/>
    <w:rsid w:val="00F04BD3"/>
    <w:rsid w:val="00F07F5C"/>
    <w:rsid w:val="00F12C42"/>
    <w:rsid w:val="00F263E9"/>
    <w:rsid w:val="00F429D6"/>
    <w:rsid w:val="00F43DA1"/>
    <w:rsid w:val="00F44391"/>
    <w:rsid w:val="00F5507D"/>
    <w:rsid w:val="00F574E0"/>
    <w:rsid w:val="00F71C37"/>
    <w:rsid w:val="00F74203"/>
    <w:rsid w:val="00F8201D"/>
    <w:rsid w:val="00F942F2"/>
    <w:rsid w:val="00FA0C39"/>
    <w:rsid w:val="00FA480D"/>
    <w:rsid w:val="00FB47B1"/>
    <w:rsid w:val="00FB6494"/>
    <w:rsid w:val="00FC158A"/>
    <w:rsid w:val="00FC3BC6"/>
    <w:rsid w:val="00FD2254"/>
    <w:rsid w:val="00FD5E3B"/>
    <w:rsid w:val="00FE7FED"/>
    <w:rsid w:val="03E77590"/>
    <w:rsid w:val="04B0389B"/>
    <w:rsid w:val="074D3F42"/>
    <w:rsid w:val="07EA70C4"/>
    <w:rsid w:val="085D7896"/>
    <w:rsid w:val="0A23066B"/>
    <w:rsid w:val="10025EB8"/>
    <w:rsid w:val="11515ABE"/>
    <w:rsid w:val="13546BFD"/>
    <w:rsid w:val="13873A19"/>
    <w:rsid w:val="19965986"/>
    <w:rsid w:val="19CC03D7"/>
    <w:rsid w:val="1BEE6D2B"/>
    <w:rsid w:val="1CC26090"/>
    <w:rsid w:val="30E87D95"/>
    <w:rsid w:val="320C360F"/>
    <w:rsid w:val="32DF725F"/>
    <w:rsid w:val="345F7BDC"/>
    <w:rsid w:val="35843E04"/>
    <w:rsid w:val="38C033A5"/>
    <w:rsid w:val="39180FE7"/>
    <w:rsid w:val="3BDD601C"/>
    <w:rsid w:val="3CDC62D4"/>
    <w:rsid w:val="4241227E"/>
    <w:rsid w:val="43DB5537"/>
    <w:rsid w:val="46911EDD"/>
    <w:rsid w:val="48BD16AF"/>
    <w:rsid w:val="494D2A33"/>
    <w:rsid w:val="4B367721"/>
    <w:rsid w:val="4C4F0870"/>
    <w:rsid w:val="4E393586"/>
    <w:rsid w:val="4F2204BE"/>
    <w:rsid w:val="50BB2978"/>
    <w:rsid w:val="51295B34"/>
    <w:rsid w:val="51B318A1"/>
    <w:rsid w:val="523E73BD"/>
    <w:rsid w:val="53BF452D"/>
    <w:rsid w:val="55747599"/>
    <w:rsid w:val="561A3C9D"/>
    <w:rsid w:val="56772E9D"/>
    <w:rsid w:val="57802226"/>
    <w:rsid w:val="5AD54636"/>
    <w:rsid w:val="5AFA5E4B"/>
    <w:rsid w:val="5DC82230"/>
    <w:rsid w:val="5E7B3747"/>
    <w:rsid w:val="60343BAD"/>
    <w:rsid w:val="61C6117D"/>
    <w:rsid w:val="628A362C"/>
    <w:rsid w:val="64FB113D"/>
    <w:rsid w:val="69EE1D86"/>
    <w:rsid w:val="6FC62348"/>
    <w:rsid w:val="70A94143"/>
    <w:rsid w:val="75356CE0"/>
    <w:rsid w:val="76947C3A"/>
    <w:rsid w:val="785E7B97"/>
    <w:rsid w:val="79AC23D9"/>
    <w:rsid w:val="7D3E27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napToGrid w:val="0"/>
      <w:spacing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30"/>
    <w:autoRedefine/>
    <w:qFormat/>
    <w:uiPriority w:val="0"/>
    <w:pPr>
      <w:keepNext/>
      <w:keepLines/>
      <w:ind w:firstLine="0" w:firstLineChars="0"/>
      <w:jc w:val="center"/>
      <w:outlineLvl w:val="0"/>
    </w:pPr>
    <w:rPr>
      <w:rFonts w:eastAsiaTheme="minorEastAsia"/>
      <w:b/>
      <w:bCs/>
      <w:kern w:val="44"/>
      <w:sz w:val="48"/>
      <w:szCs w:val="44"/>
    </w:rPr>
  </w:style>
  <w:style w:type="paragraph" w:styleId="3">
    <w:name w:val="heading 2"/>
    <w:basedOn w:val="1"/>
    <w:next w:val="1"/>
    <w:link w:val="31"/>
    <w:autoRedefine/>
    <w:qFormat/>
    <w:uiPriority w:val="0"/>
    <w:pPr>
      <w:keepNext/>
      <w:keepLines/>
      <w:ind w:firstLine="0" w:firstLineChars="0"/>
      <w:outlineLvl w:val="1"/>
    </w:pPr>
    <w:rPr>
      <w:rFonts w:eastAsiaTheme="minorEastAsia"/>
      <w:b/>
      <w:bCs/>
      <w:sz w:val="28"/>
      <w:szCs w:val="32"/>
    </w:rPr>
  </w:style>
  <w:style w:type="paragraph" w:styleId="4">
    <w:name w:val="heading 3"/>
    <w:basedOn w:val="1"/>
    <w:next w:val="1"/>
    <w:link w:val="32"/>
    <w:autoRedefine/>
    <w:unhideWhenUsed/>
    <w:qFormat/>
    <w:uiPriority w:val="0"/>
    <w:pPr>
      <w:keepNext/>
      <w:keepLines/>
      <w:spacing w:before="50" w:beforeLines="50"/>
      <w:ind w:firstLine="0" w:firstLineChars="0"/>
      <w:outlineLvl w:val="2"/>
    </w:pPr>
    <w:rPr>
      <w:rFonts w:eastAsiaTheme="minorEastAsia"/>
      <w:b/>
      <w:bCs/>
      <w:szCs w:val="32"/>
    </w:rPr>
  </w:style>
  <w:style w:type="paragraph" w:styleId="5">
    <w:name w:val="heading 4"/>
    <w:basedOn w:val="1"/>
    <w:next w:val="1"/>
    <w:link w:val="33"/>
    <w:autoRedefine/>
    <w:unhideWhenUsed/>
    <w:qFormat/>
    <w:uiPriority w:val="0"/>
    <w:pPr>
      <w:keepNext/>
      <w:keepLines/>
      <w:spacing w:before="50" w:beforeLines="50"/>
      <w:ind w:firstLine="0" w:firstLineChars="0"/>
      <w:outlineLvl w:val="3"/>
    </w:pPr>
    <w:rPr>
      <w:rFonts w:cstheme="majorBidi"/>
      <w:b/>
      <w:bCs/>
      <w:szCs w:val="28"/>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6">
    <w:name w:val="caption"/>
    <w:basedOn w:val="1"/>
    <w:next w:val="1"/>
    <w:autoRedefine/>
    <w:qFormat/>
    <w:uiPriority w:val="0"/>
    <w:pPr>
      <w:spacing w:before="152" w:after="160"/>
    </w:pPr>
    <w:rPr>
      <w:rFonts w:ascii="Arial" w:hAnsi="Arial" w:eastAsia="黑体" w:cs="Arial"/>
      <w:sz w:val="20"/>
      <w:szCs w:val="20"/>
    </w:rPr>
  </w:style>
  <w:style w:type="paragraph" w:styleId="7">
    <w:name w:val="annotation text"/>
    <w:basedOn w:val="1"/>
    <w:link w:val="44"/>
    <w:autoRedefine/>
    <w:semiHidden/>
    <w:unhideWhenUsed/>
    <w:qFormat/>
    <w:uiPriority w:val="99"/>
    <w:pPr>
      <w:jc w:val="left"/>
    </w:pPr>
  </w:style>
  <w:style w:type="paragraph" w:styleId="8">
    <w:name w:val="Body Text Indent"/>
    <w:basedOn w:val="1"/>
    <w:link w:val="42"/>
    <w:autoRedefine/>
    <w:qFormat/>
    <w:uiPriority w:val="0"/>
    <w:pPr>
      <w:tabs>
        <w:tab w:val="left" w:pos="2268"/>
      </w:tabs>
      <w:adjustRightInd/>
      <w:snapToGrid/>
      <w:spacing w:line="560" w:lineRule="exact"/>
      <w:ind w:firstLine="600"/>
    </w:pPr>
    <w:rPr>
      <w:rFonts w:ascii="仿宋_GB2312" w:hAnsi="Calibri"/>
      <w:sz w:val="30"/>
    </w:rPr>
  </w:style>
  <w:style w:type="paragraph" w:styleId="9">
    <w:name w:val="Balloon Text"/>
    <w:basedOn w:val="1"/>
    <w:link w:val="39"/>
    <w:autoRedefine/>
    <w:semiHidden/>
    <w:unhideWhenUsed/>
    <w:qFormat/>
    <w:uiPriority w:val="99"/>
    <w:pPr>
      <w:spacing w:line="240" w:lineRule="auto"/>
    </w:pPr>
    <w:rPr>
      <w:sz w:val="18"/>
      <w:szCs w:val="18"/>
    </w:rPr>
  </w:style>
  <w:style w:type="paragraph" w:styleId="10">
    <w:name w:val="footer"/>
    <w:basedOn w:val="1"/>
    <w:link w:val="35"/>
    <w:autoRedefine/>
    <w:unhideWhenUsed/>
    <w:qFormat/>
    <w:uiPriority w:val="99"/>
    <w:pPr>
      <w:tabs>
        <w:tab w:val="center" w:pos="4153"/>
        <w:tab w:val="right" w:pos="8306"/>
      </w:tabs>
      <w:spacing w:line="240" w:lineRule="auto"/>
      <w:jc w:val="left"/>
    </w:pPr>
    <w:rPr>
      <w:sz w:val="18"/>
      <w:szCs w:val="18"/>
    </w:rPr>
  </w:style>
  <w:style w:type="paragraph" w:styleId="11">
    <w:name w:val="header"/>
    <w:basedOn w:val="1"/>
    <w:link w:val="34"/>
    <w:autoRedefine/>
    <w:unhideWhenUsed/>
    <w:qFormat/>
    <w:uiPriority w:val="99"/>
    <w:pPr>
      <w:pBdr>
        <w:bottom w:val="single" w:color="auto" w:sz="6" w:space="1"/>
      </w:pBdr>
      <w:tabs>
        <w:tab w:val="center" w:pos="4153"/>
        <w:tab w:val="right" w:pos="8306"/>
      </w:tabs>
      <w:spacing w:line="240" w:lineRule="auto"/>
      <w:jc w:val="center"/>
    </w:pPr>
    <w:rPr>
      <w:sz w:val="18"/>
      <w:szCs w:val="18"/>
    </w:rPr>
  </w:style>
  <w:style w:type="paragraph" w:styleId="12">
    <w:name w:val="annotation subject"/>
    <w:basedOn w:val="7"/>
    <w:next w:val="7"/>
    <w:link w:val="45"/>
    <w:autoRedefine/>
    <w:semiHidden/>
    <w:unhideWhenUsed/>
    <w:qFormat/>
    <w:uiPriority w:val="99"/>
    <w:rPr>
      <w:b/>
      <w:bCs/>
    </w:rPr>
  </w:style>
  <w:style w:type="table" w:styleId="14">
    <w:name w:val="Table Grid"/>
    <w:basedOn w:val="1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autoRedefine/>
    <w:qFormat/>
    <w:uiPriority w:val="0"/>
    <w:rPr>
      <w:b/>
    </w:rPr>
  </w:style>
  <w:style w:type="character" w:styleId="17">
    <w:name w:val="Emphasis"/>
    <w:basedOn w:val="15"/>
    <w:autoRedefine/>
    <w:qFormat/>
    <w:uiPriority w:val="0"/>
    <w:rPr>
      <w:i/>
    </w:rPr>
  </w:style>
  <w:style w:type="character" w:styleId="18">
    <w:name w:val="annotation reference"/>
    <w:basedOn w:val="15"/>
    <w:autoRedefine/>
    <w:semiHidden/>
    <w:unhideWhenUsed/>
    <w:qFormat/>
    <w:uiPriority w:val="99"/>
    <w:rPr>
      <w:sz w:val="21"/>
      <w:szCs w:val="21"/>
    </w:rPr>
  </w:style>
  <w:style w:type="paragraph" w:customStyle="1" w:styleId="19">
    <w:name w:val="图的脚注"/>
    <w:next w:val="1"/>
    <w:autoRedefine/>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20">
    <w:name w:val="首示例"/>
    <w:next w:val="1"/>
    <w:link w:val="21"/>
    <w:autoRedefine/>
    <w:qFormat/>
    <w:uiPriority w:val="0"/>
    <w:pPr>
      <w:numPr>
        <w:ilvl w:val="0"/>
        <w:numId w:val="1"/>
      </w:numPr>
      <w:tabs>
        <w:tab w:val="left" w:pos="360"/>
        <w:tab w:val="clear" w:pos="839"/>
      </w:tabs>
      <w:ind w:left="0" w:firstLine="0"/>
    </w:pPr>
    <w:rPr>
      <w:rFonts w:ascii="宋体" w:hAnsi="宋体" w:eastAsia="宋体" w:cs="Times New Roman"/>
      <w:kern w:val="2"/>
      <w:sz w:val="18"/>
      <w:szCs w:val="18"/>
      <w:lang w:val="en-US" w:eastAsia="zh-CN" w:bidi="ar-SA"/>
    </w:rPr>
  </w:style>
  <w:style w:type="character" w:customStyle="1" w:styleId="21">
    <w:name w:val="首示例 Char"/>
    <w:link w:val="20"/>
    <w:autoRedefine/>
    <w:qFormat/>
    <w:uiPriority w:val="0"/>
    <w:rPr>
      <w:rFonts w:ascii="宋体" w:hAnsi="宋体"/>
      <w:kern w:val="2"/>
      <w:sz w:val="18"/>
      <w:szCs w:val="18"/>
    </w:rPr>
  </w:style>
  <w:style w:type="paragraph" w:customStyle="1" w:styleId="22">
    <w:name w:val="附录字母编号列项（一级）"/>
    <w:autoRedefine/>
    <w:qFormat/>
    <w:uiPriority w:val="0"/>
    <w:pPr>
      <w:tabs>
        <w:tab w:val="left" w:pos="839"/>
      </w:tabs>
    </w:pPr>
    <w:rPr>
      <w:rFonts w:ascii="宋体" w:hAnsi="Times New Roman" w:eastAsia="宋体" w:cs="Times New Roman"/>
      <w:sz w:val="21"/>
      <w:lang w:val="en-US" w:eastAsia="zh-CN" w:bidi="ar-SA"/>
    </w:rPr>
  </w:style>
  <w:style w:type="paragraph" w:customStyle="1" w:styleId="23">
    <w:name w:val="示例×："/>
    <w:basedOn w:val="1"/>
    <w:autoRedefine/>
    <w:qFormat/>
    <w:uiPriority w:val="0"/>
    <w:pPr>
      <w:widowControl/>
    </w:pPr>
    <w:rPr>
      <w:rFonts w:ascii="宋体"/>
      <w:kern w:val="0"/>
      <w:sz w:val="18"/>
      <w:szCs w:val="18"/>
    </w:rPr>
  </w:style>
  <w:style w:type="paragraph" w:customStyle="1" w:styleId="24">
    <w:name w:val="附录公式"/>
    <w:basedOn w:val="1"/>
    <w:next w:val="1"/>
    <w:link w:val="25"/>
    <w:autoRedefine/>
    <w:qFormat/>
    <w:uiPriority w:val="0"/>
    <w:pPr>
      <w:widowControl/>
      <w:tabs>
        <w:tab w:val="center" w:pos="4201"/>
        <w:tab w:val="right" w:leader="dot" w:pos="9298"/>
      </w:tabs>
      <w:autoSpaceDE w:val="0"/>
      <w:autoSpaceDN w:val="0"/>
      <w:ind w:firstLine="420"/>
    </w:pPr>
    <w:rPr>
      <w:rFonts w:ascii="宋体"/>
      <w:kern w:val="0"/>
      <w:szCs w:val="20"/>
    </w:rPr>
  </w:style>
  <w:style w:type="character" w:customStyle="1" w:styleId="25">
    <w:name w:val="附录公式 Char"/>
    <w:basedOn w:val="15"/>
    <w:link w:val="24"/>
    <w:autoRedefine/>
    <w:qFormat/>
    <w:uiPriority w:val="0"/>
    <w:rPr>
      <w:rFonts w:ascii="宋体"/>
      <w:sz w:val="21"/>
    </w:rPr>
  </w:style>
  <w:style w:type="paragraph" w:customStyle="1" w:styleId="26">
    <w:name w:val="附录公式编号制表符"/>
    <w:basedOn w:val="1"/>
    <w:next w:val="1"/>
    <w:autoRedefine/>
    <w:qFormat/>
    <w:uiPriority w:val="0"/>
    <w:pPr>
      <w:widowControl/>
      <w:tabs>
        <w:tab w:val="center" w:pos="4201"/>
        <w:tab w:val="right" w:leader="dot" w:pos="9298"/>
      </w:tabs>
      <w:autoSpaceDE w:val="0"/>
      <w:autoSpaceDN w:val="0"/>
    </w:pPr>
    <w:rPr>
      <w:rFonts w:ascii="宋体"/>
      <w:kern w:val="0"/>
      <w:szCs w:val="20"/>
    </w:rPr>
  </w:style>
  <w:style w:type="paragraph" w:customStyle="1" w:styleId="27">
    <w:name w:val="附录数字编号列项（二级）"/>
    <w:autoRedefine/>
    <w:qFormat/>
    <w:uiPriority w:val="0"/>
    <w:pPr>
      <w:tabs>
        <w:tab w:val="left" w:pos="840"/>
      </w:tabs>
    </w:pPr>
    <w:rPr>
      <w:rFonts w:ascii="宋体" w:hAnsi="Times New Roman" w:eastAsia="宋体" w:cs="Times New Roman"/>
      <w:sz w:val="21"/>
      <w:lang w:val="en-US" w:eastAsia="zh-CN" w:bidi="ar-SA"/>
    </w:rPr>
  </w:style>
  <w:style w:type="paragraph" w:customStyle="1" w:styleId="28">
    <w:name w:val="示例后文字"/>
    <w:basedOn w:val="1"/>
    <w:next w:val="1"/>
    <w:autoRedefine/>
    <w:qFormat/>
    <w:uiPriority w:val="0"/>
    <w:pPr>
      <w:widowControl/>
      <w:tabs>
        <w:tab w:val="center" w:pos="4201"/>
        <w:tab w:val="right" w:leader="dot" w:pos="9298"/>
      </w:tabs>
      <w:autoSpaceDE w:val="0"/>
      <w:autoSpaceDN w:val="0"/>
      <w:ind w:firstLine="360"/>
    </w:pPr>
    <w:rPr>
      <w:rFonts w:ascii="宋体"/>
      <w:kern w:val="0"/>
      <w:sz w:val="18"/>
      <w:szCs w:val="20"/>
    </w:rPr>
  </w:style>
  <w:style w:type="paragraph" w:customStyle="1" w:styleId="29">
    <w:name w:val="正文公式编号制表符"/>
    <w:basedOn w:val="1"/>
    <w:next w:val="1"/>
    <w:autoRedefine/>
    <w:qFormat/>
    <w:uiPriority w:val="0"/>
    <w:pPr>
      <w:widowControl/>
      <w:tabs>
        <w:tab w:val="center" w:pos="4201"/>
        <w:tab w:val="right" w:leader="dot" w:pos="9298"/>
      </w:tabs>
      <w:autoSpaceDE w:val="0"/>
      <w:autoSpaceDN w:val="0"/>
    </w:pPr>
    <w:rPr>
      <w:rFonts w:ascii="宋体"/>
      <w:kern w:val="0"/>
      <w:szCs w:val="20"/>
    </w:rPr>
  </w:style>
  <w:style w:type="character" w:customStyle="1" w:styleId="30">
    <w:name w:val="标题 1 字符"/>
    <w:link w:val="2"/>
    <w:autoRedefine/>
    <w:qFormat/>
    <w:uiPriority w:val="0"/>
    <w:rPr>
      <w:rFonts w:eastAsiaTheme="minorEastAsia"/>
      <w:b/>
      <w:bCs/>
      <w:kern w:val="44"/>
      <w:sz w:val="48"/>
      <w:szCs w:val="44"/>
    </w:rPr>
  </w:style>
  <w:style w:type="character" w:customStyle="1" w:styleId="31">
    <w:name w:val="标题 2 字符"/>
    <w:link w:val="3"/>
    <w:autoRedefine/>
    <w:qFormat/>
    <w:uiPriority w:val="0"/>
    <w:rPr>
      <w:rFonts w:eastAsiaTheme="minorEastAsia"/>
      <w:b/>
      <w:bCs/>
      <w:kern w:val="2"/>
      <w:sz w:val="28"/>
      <w:szCs w:val="32"/>
    </w:rPr>
  </w:style>
  <w:style w:type="character" w:customStyle="1" w:styleId="32">
    <w:name w:val="标题 3 字符"/>
    <w:link w:val="4"/>
    <w:autoRedefine/>
    <w:qFormat/>
    <w:uiPriority w:val="0"/>
    <w:rPr>
      <w:rFonts w:eastAsiaTheme="minorEastAsia"/>
      <w:b/>
      <w:bCs/>
      <w:kern w:val="2"/>
      <w:sz w:val="24"/>
      <w:szCs w:val="32"/>
    </w:rPr>
  </w:style>
  <w:style w:type="character" w:customStyle="1" w:styleId="33">
    <w:name w:val="标题 4 字符"/>
    <w:basedOn w:val="15"/>
    <w:link w:val="5"/>
    <w:autoRedefine/>
    <w:qFormat/>
    <w:uiPriority w:val="0"/>
    <w:rPr>
      <w:rFonts w:cstheme="majorBidi"/>
      <w:b/>
      <w:bCs/>
      <w:kern w:val="2"/>
      <w:sz w:val="21"/>
      <w:szCs w:val="28"/>
    </w:rPr>
  </w:style>
  <w:style w:type="character" w:customStyle="1" w:styleId="34">
    <w:name w:val="页眉 字符"/>
    <w:basedOn w:val="15"/>
    <w:link w:val="11"/>
    <w:autoRedefine/>
    <w:qFormat/>
    <w:uiPriority w:val="99"/>
    <w:rPr>
      <w:kern w:val="2"/>
      <w:sz w:val="18"/>
      <w:szCs w:val="18"/>
    </w:rPr>
  </w:style>
  <w:style w:type="character" w:customStyle="1" w:styleId="35">
    <w:name w:val="页脚 字符"/>
    <w:basedOn w:val="15"/>
    <w:link w:val="10"/>
    <w:autoRedefine/>
    <w:qFormat/>
    <w:uiPriority w:val="99"/>
    <w:rPr>
      <w:kern w:val="2"/>
      <w:sz w:val="18"/>
      <w:szCs w:val="18"/>
    </w:rPr>
  </w:style>
  <w:style w:type="paragraph" w:customStyle="1" w:styleId="36">
    <w:name w:val="Default"/>
    <w:autoRedefine/>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37">
    <w:name w:val="段 Char"/>
    <w:link w:val="38"/>
    <w:autoRedefine/>
    <w:qFormat/>
    <w:uiPriority w:val="0"/>
    <w:rPr>
      <w:rFonts w:ascii="宋体"/>
      <w:sz w:val="21"/>
    </w:rPr>
  </w:style>
  <w:style w:type="paragraph" w:customStyle="1" w:styleId="38">
    <w:name w:val="段"/>
    <w:link w:val="37"/>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39">
    <w:name w:val="批注框文本 字符"/>
    <w:basedOn w:val="15"/>
    <w:link w:val="9"/>
    <w:autoRedefine/>
    <w:semiHidden/>
    <w:qFormat/>
    <w:uiPriority w:val="99"/>
    <w:rPr>
      <w:kern w:val="2"/>
      <w:sz w:val="18"/>
      <w:szCs w:val="18"/>
    </w:rPr>
  </w:style>
  <w:style w:type="paragraph" w:customStyle="1" w:styleId="40">
    <w:name w:val="修订1"/>
    <w:autoRedefine/>
    <w:hidden/>
    <w:semiHidden/>
    <w:qFormat/>
    <w:uiPriority w:val="99"/>
    <w:rPr>
      <w:rFonts w:ascii="Times New Roman" w:hAnsi="Times New Roman" w:eastAsia="宋体" w:cs="Times New Roman"/>
      <w:color w:val="000000"/>
      <w:sz w:val="21"/>
      <w:szCs w:val="21"/>
      <w:lang w:val="en-US" w:eastAsia="zh-CN" w:bidi="ar-SA"/>
    </w:rPr>
  </w:style>
  <w:style w:type="paragraph" w:styleId="41">
    <w:name w:val="List Paragraph"/>
    <w:basedOn w:val="1"/>
    <w:autoRedefine/>
    <w:qFormat/>
    <w:uiPriority w:val="99"/>
    <w:pPr>
      <w:ind w:firstLine="420"/>
    </w:pPr>
  </w:style>
  <w:style w:type="character" w:customStyle="1" w:styleId="42">
    <w:name w:val="正文文本缩进 字符"/>
    <w:basedOn w:val="15"/>
    <w:link w:val="8"/>
    <w:autoRedefine/>
    <w:qFormat/>
    <w:uiPriority w:val="0"/>
    <w:rPr>
      <w:rFonts w:ascii="仿宋_GB2312" w:hAnsi="Calibri"/>
      <w:kern w:val="2"/>
      <w:sz w:val="30"/>
      <w:szCs w:val="24"/>
    </w:rPr>
  </w:style>
  <w:style w:type="paragraph" w:customStyle="1" w:styleId="43">
    <w:name w:val="Revision"/>
    <w:autoRedefine/>
    <w:hidden/>
    <w:unhideWhenUsed/>
    <w:qFormat/>
    <w:uiPriority w:val="99"/>
    <w:rPr>
      <w:rFonts w:ascii="Times New Roman" w:hAnsi="Times New Roman" w:eastAsia="宋体" w:cs="Times New Roman"/>
      <w:kern w:val="2"/>
      <w:sz w:val="24"/>
      <w:szCs w:val="24"/>
      <w:lang w:val="en-US" w:eastAsia="zh-CN" w:bidi="ar-SA"/>
    </w:rPr>
  </w:style>
  <w:style w:type="character" w:customStyle="1" w:styleId="44">
    <w:name w:val="批注文字 字符"/>
    <w:basedOn w:val="15"/>
    <w:link w:val="7"/>
    <w:autoRedefine/>
    <w:semiHidden/>
    <w:qFormat/>
    <w:uiPriority w:val="99"/>
    <w:rPr>
      <w:kern w:val="2"/>
      <w:sz w:val="24"/>
      <w:szCs w:val="24"/>
    </w:rPr>
  </w:style>
  <w:style w:type="character" w:customStyle="1" w:styleId="45">
    <w:name w:val="批注主题 字符"/>
    <w:basedOn w:val="44"/>
    <w:link w:val="12"/>
    <w:autoRedefine/>
    <w:semiHidden/>
    <w:qFormat/>
    <w:uiPriority w:val="99"/>
    <w:rPr>
      <w:b/>
      <w:bCs/>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2679</Words>
  <Characters>15272</Characters>
  <Lines>127</Lines>
  <Paragraphs>35</Paragraphs>
  <TotalTime>1</TotalTime>
  <ScaleCrop>false</ScaleCrop>
  <LinksUpToDate>false</LinksUpToDate>
  <CharactersWithSpaces>17916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2024-06-17T08:25:00Z</dcterms:created>
  <dc:creator>NTKO</dc:creator>
  <cp:lastModifiedBy>linxia</cp:lastModifiedBy>
  <cp:lastPrinted>2023-12-19T07:54:00Z</cp:lastPrinted>
  <dcterms:modified xsi:type="dcterms:W3CDTF">2025-04-08T06:31:50Z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84C8548DEC1B441FB759BB33D056EBF0_12</vt:lpwstr>
  </property>
</Properties>
</file>